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F6010A">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11B7429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highlight w:val="none"/>
          <w:lang w:eastAsia="zh-CN"/>
        </w:rPr>
        <w:t>受</w:t>
      </w:r>
      <w:r>
        <w:rPr>
          <w:rFonts w:hint="eastAsia" w:ascii="宋体" w:hAnsi="宋体" w:eastAsia="宋体" w:cs="宋体"/>
          <w:color w:val="auto"/>
          <w:sz w:val="24"/>
          <w:szCs w:val="24"/>
          <w:highlight w:val="none"/>
          <w:u w:val="none"/>
          <w:lang w:eastAsia="zh-CN"/>
        </w:rPr>
        <w:t>宁波市璟诚企业运营管理有限公司</w:t>
      </w:r>
      <w:r>
        <w:rPr>
          <w:rFonts w:hint="eastAsia" w:ascii="宋体" w:hAnsi="宋体" w:eastAsia="宋体" w:cs="宋体"/>
          <w:color w:val="auto"/>
          <w:sz w:val="24"/>
          <w:szCs w:val="24"/>
          <w:highlight w:val="none"/>
          <w:lang w:eastAsia="zh-CN"/>
        </w:rPr>
        <w:t>委</w:t>
      </w:r>
      <w:r>
        <w:rPr>
          <w:rFonts w:hint="eastAsia" w:ascii="宋体" w:hAnsi="宋体" w:eastAsia="宋体" w:cs="宋体"/>
          <w:color w:val="auto"/>
          <w:sz w:val="24"/>
          <w:szCs w:val="24"/>
          <w:highlight w:val="none"/>
        </w:rPr>
        <w:t>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于2026年3月4日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11DA2A23">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2926758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44676CE9">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W w:w="9958" w:type="dxa"/>
        <w:tblInd w:w="0" w:type="dxa"/>
        <w:tblLayout w:type="fixed"/>
        <w:tblCellMar>
          <w:top w:w="0" w:type="dxa"/>
          <w:left w:w="108" w:type="dxa"/>
          <w:bottom w:w="0" w:type="dxa"/>
          <w:right w:w="108" w:type="dxa"/>
        </w:tblCellMar>
      </w:tblPr>
      <w:tblGrid>
        <w:gridCol w:w="656"/>
        <w:gridCol w:w="2571"/>
        <w:gridCol w:w="855"/>
        <w:gridCol w:w="1154"/>
        <w:gridCol w:w="1274"/>
        <w:gridCol w:w="1062"/>
        <w:gridCol w:w="1060"/>
        <w:gridCol w:w="1326"/>
      </w:tblGrid>
      <w:tr w14:paraId="4378C595">
        <w:tblPrEx>
          <w:tblCellMar>
            <w:top w:w="0" w:type="dxa"/>
            <w:left w:w="108" w:type="dxa"/>
            <w:bottom w:w="0" w:type="dxa"/>
            <w:right w:w="108" w:type="dxa"/>
          </w:tblCellMar>
        </w:tblPrEx>
        <w:trPr>
          <w:trHeight w:val="1188" w:hRule="atLeast"/>
        </w:trPr>
        <w:tc>
          <w:tcPr>
            <w:tcW w:w="656" w:type="dxa"/>
            <w:tcBorders>
              <w:top w:val="single" w:color="auto" w:sz="4" w:space="0"/>
              <w:left w:val="single" w:color="auto" w:sz="4" w:space="0"/>
              <w:bottom w:val="single" w:color="auto" w:sz="4" w:space="0"/>
              <w:right w:val="single" w:color="auto" w:sz="4" w:space="0"/>
            </w:tcBorders>
            <w:noWrap w:val="0"/>
            <w:vAlign w:val="center"/>
          </w:tcPr>
          <w:p w14:paraId="6CD849DB">
            <w:pPr>
              <w:widowControl/>
              <w:jc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序号</w:t>
            </w:r>
          </w:p>
        </w:tc>
        <w:tc>
          <w:tcPr>
            <w:tcW w:w="2571" w:type="dxa"/>
            <w:tcBorders>
              <w:top w:val="single" w:color="auto" w:sz="4" w:space="0"/>
              <w:left w:val="single" w:color="auto" w:sz="4" w:space="0"/>
              <w:bottom w:val="single" w:color="auto" w:sz="4" w:space="0"/>
              <w:right w:val="single" w:color="auto" w:sz="4" w:space="0"/>
            </w:tcBorders>
            <w:noWrap w:val="0"/>
            <w:vAlign w:val="center"/>
          </w:tcPr>
          <w:p w14:paraId="37667814">
            <w:pPr>
              <w:widowControl/>
              <w:jc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标的名称</w:t>
            </w:r>
          </w:p>
        </w:tc>
        <w:tc>
          <w:tcPr>
            <w:tcW w:w="855" w:type="dxa"/>
            <w:tcBorders>
              <w:top w:val="single" w:color="auto" w:sz="4" w:space="0"/>
              <w:left w:val="single" w:color="auto" w:sz="4" w:space="0"/>
              <w:bottom w:val="single" w:color="auto" w:sz="4" w:space="0"/>
              <w:right w:val="single" w:color="auto" w:sz="4" w:space="0"/>
            </w:tcBorders>
            <w:noWrap w:val="0"/>
            <w:vAlign w:val="center"/>
          </w:tcPr>
          <w:p w14:paraId="0B97C3AE">
            <w:pPr>
              <w:widowControl/>
              <w:jc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规划用途</w:t>
            </w:r>
          </w:p>
        </w:tc>
        <w:tc>
          <w:tcPr>
            <w:tcW w:w="1154" w:type="dxa"/>
            <w:tcBorders>
              <w:top w:val="single" w:color="auto" w:sz="4" w:space="0"/>
              <w:left w:val="single" w:color="auto" w:sz="4" w:space="0"/>
              <w:bottom w:val="single" w:color="auto" w:sz="4" w:space="0"/>
              <w:right w:val="single" w:color="auto" w:sz="4" w:space="0"/>
            </w:tcBorders>
            <w:noWrap w:val="0"/>
            <w:vAlign w:val="center"/>
          </w:tcPr>
          <w:p w14:paraId="17BAE327">
            <w:pPr>
              <w:widowControl/>
              <w:jc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lang w:val="en-US" w:eastAsia="zh-CN"/>
              </w:rPr>
              <w:t>出租</w:t>
            </w:r>
            <w:r>
              <w:rPr>
                <w:rFonts w:hint="eastAsia" w:ascii="宋体" w:hAnsi="宋体" w:eastAsia="宋体" w:cs="宋体"/>
                <w:color w:val="000000"/>
                <w:kern w:val="0"/>
                <w:sz w:val="21"/>
                <w:szCs w:val="21"/>
                <w:highlight w:val="none"/>
              </w:rPr>
              <w:t>面积（</w:t>
            </w:r>
            <w:r>
              <w:rPr>
                <w:rFonts w:hint="eastAsia" w:ascii="宋体" w:hAnsi="宋体" w:eastAsia="宋体" w:cs="宋体"/>
                <w:color w:val="000000"/>
                <w:kern w:val="0"/>
                <w:sz w:val="21"/>
                <w:szCs w:val="21"/>
                <w:highlight w:val="none"/>
                <w:lang w:val="en-US" w:eastAsia="zh-CN"/>
              </w:rPr>
              <w:t>㎡</w:t>
            </w:r>
            <w:r>
              <w:rPr>
                <w:rFonts w:hint="eastAsia" w:ascii="宋体" w:hAnsi="宋体" w:eastAsia="宋体" w:cs="宋体"/>
                <w:color w:val="000000"/>
                <w:kern w:val="0"/>
                <w:sz w:val="21"/>
                <w:szCs w:val="21"/>
                <w:highlight w:val="none"/>
              </w:rPr>
              <w:t>）</w:t>
            </w:r>
          </w:p>
        </w:tc>
        <w:tc>
          <w:tcPr>
            <w:tcW w:w="1274" w:type="dxa"/>
            <w:tcBorders>
              <w:top w:val="single" w:color="auto" w:sz="4" w:space="0"/>
              <w:left w:val="single" w:color="auto" w:sz="4" w:space="0"/>
              <w:bottom w:val="single" w:color="auto" w:sz="4" w:space="0"/>
              <w:right w:val="single" w:color="auto" w:sz="4" w:space="0"/>
            </w:tcBorders>
            <w:noWrap w:val="0"/>
            <w:vAlign w:val="center"/>
          </w:tcPr>
          <w:p w14:paraId="1028B12E">
            <w:pPr>
              <w:widowControl/>
              <w:jc w:val="center"/>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首年租金起始</w:t>
            </w:r>
            <w:r>
              <w:rPr>
                <w:rFonts w:hint="eastAsia" w:ascii="宋体" w:hAnsi="宋体" w:eastAsia="宋体" w:cs="宋体"/>
                <w:color w:val="000000"/>
                <w:sz w:val="21"/>
                <w:szCs w:val="21"/>
                <w:highlight w:val="none"/>
              </w:rPr>
              <w:t>价（元/年）</w:t>
            </w:r>
          </w:p>
        </w:tc>
        <w:tc>
          <w:tcPr>
            <w:tcW w:w="1062" w:type="dxa"/>
            <w:tcBorders>
              <w:top w:val="single" w:color="auto" w:sz="4" w:space="0"/>
              <w:left w:val="single" w:color="auto" w:sz="4" w:space="0"/>
              <w:bottom w:val="single" w:color="auto" w:sz="4" w:space="0"/>
              <w:right w:val="single" w:color="auto" w:sz="4" w:space="0"/>
            </w:tcBorders>
            <w:noWrap w:val="0"/>
            <w:vAlign w:val="center"/>
          </w:tcPr>
          <w:p w14:paraId="57B1560E">
            <w:pPr>
              <w:widowControl/>
              <w:jc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保证金（元）</w:t>
            </w:r>
          </w:p>
        </w:tc>
        <w:tc>
          <w:tcPr>
            <w:tcW w:w="1060" w:type="dxa"/>
            <w:tcBorders>
              <w:top w:val="single" w:color="auto" w:sz="4" w:space="0"/>
              <w:left w:val="single" w:color="auto" w:sz="4" w:space="0"/>
              <w:bottom w:val="single" w:color="auto" w:sz="4" w:space="0"/>
              <w:right w:val="single" w:color="auto" w:sz="4" w:space="0"/>
            </w:tcBorders>
            <w:noWrap w:val="0"/>
            <w:vAlign w:val="center"/>
          </w:tcPr>
          <w:p w14:paraId="39C187A4">
            <w:pPr>
              <w:keepNext w:val="0"/>
              <w:keepLines w:val="0"/>
              <w:pageBreakBefore w:val="0"/>
              <w:widowControl w:val="0"/>
              <w:kinsoku/>
              <w:wordWrap/>
              <w:overflowPunct/>
              <w:topLinePunct w:val="0"/>
              <w:autoSpaceDE/>
              <w:autoSpaceDN/>
              <w:bidi w:val="0"/>
              <w:adjustRightInd/>
              <w:snapToGrid/>
              <w:spacing w:line="260" w:lineRule="exact"/>
              <w:ind w:right="0" w:rightChars="0"/>
              <w:jc w:val="center"/>
              <w:textAlignment w:val="auto"/>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租期</w:t>
            </w:r>
          </w:p>
        </w:tc>
        <w:tc>
          <w:tcPr>
            <w:tcW w:w="1326" w:type="dxa"/>
            <w:tcBorders>
              <w:top w:val="single" w:color="auto" w:sz="4" w:space="0"/>
              <w:left w:val="single" w:color="auto" w:sz="4" w:space="0"/>
              <w:bottom w:val="single" w:color="auto" w:sz="4" w:space="0"/>
              <w:right w:val="single" w:color="auto" w:sz="4" w:space="0"/>
            </w:tcBorders>
            <w:noWrap/>
            <w:vAlign w:val="center"/>
          </w:tcPr>
          <w:p w14:paraId="53D2ABD4">
            <w:pPr>
              <w:keepNext w:val="0"/>
              <w:keepLines w:val="0"/>
              <w:pageBreakBefore w:val="0"/>
              <w:widowControl w:val="0"/>
              <w:kinsoku/>
              <w:wordWrap/>
              <w:overflowPunct/>
              <w:topLinePunct w:val="0"/>
              <w:autoSpaceDE/>
              <w:autoSpaceDN/>
              <w:bidi w:val="0"/>
              <w:adjustRightInd/>
              <w:snapToGrid/>
              <w:spacing w:line="260" w:lineRule="exact"/>
              <w:ind w:right="0"/>
              <w:jc w:val="center"/>
              <w:textAlignment w:val="auto"/>
              <w:rPr>
                <w:rFonts w:hint="eastAsia" w:ascii="宋体" w:hAnsi="宋体" w:eastAsia="宋体" w:cs="宋体"/>
                <w:color w:val="000000"/>
                <w:sz w:val="21"/>
                <w:szCs w:val="21"/>
                <w:highlight w:val="none"/>
                <w:lang w:eastAsia="zh-CN"/>
              </w:rPr>
            </w:pPr>
            <w:r>
              <w:rPr>
                <w:rFonts w:hint="eastAsia" w:ascii="宋体" w:hAnsi="宋体" w:eastAsia="宋体" w:cs="宋体"/>
                <w:color w:val="000000"/>
                <w:kern w:val="0"/>
                <w:sz w:val="21"/>
                <w:szCs w:val="21"/>
                <w:highlight w:val="none"/>
                <w:lang w:val="en-US" w:eastAsia="zh-CN"/>
              </w:rPr>
              <w:t>备注</w:t>
            </w:r>
          </w:p>
        </w:tc>
      </w:tr>
      <w:tr w14:paraId="1D5E0AE1">
        <w:tblPrEx>
          <w:tblCellMar>
            <w:top w:w="0" w:type="dxa"/>
            <w:left w:w="108" w:type="dxa"/>
            <w:bottom w:w="0" w:type="dxa"/>
            <w:right w:w="108" w:type="dxa"/>
          </w:tblCellMar>
        </w:tblPrEx>
        <w:trPr>
          <w:trHeight w:val="1208" w:hRule="atLeast"/>
        </w:trPr>
        <w:tc>
          <w:tcPr>
            <w:tcW w:w="656" w:type="dxa"/>
            <w:vMerge w:val="restart"/>
            <w:tcBorders>
              <w:top w:val="single" w:color="auto" w:sz="4" w:space="0"/>
              <w:left w:val="single" w:color="auto" w:sz="4" w:space="0"/>
              <w:right w:val="single" w:color="auto" w:sz="4" w:space="0"/>
            </w:tcBorders>
            <w:noWrap w:val="0"/>
            <w:vAlign w:val="center"/>
          </w:tcPr>
          <w:p w14:paraId="1797D037">
            <w:pPr>
              <w:widowControl/>
              <w:jc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lang w:val="en-US" w:eastAsia="zh-CN"/>
              </w:rPr>
              <w:t>1</w:t>
            </w:r>
          </w:p>
        </w:tc>
        <w:tc>
          <w:tcPr>
            <w:tcW w:w="2571" w:type="dxa"/>
            <w:tcBorders>
              <w:top w:val="single" w:color="auto" w:sz="4" w:space="0"/>
              <w:left w:val="single" w:color="auto" w:sz="4" w:space="0"/>
              <w:bottom w:val="single" w:color="auto" w:sz="4" w:space="0"/>
              <w:right w:val="single" w:color="auto" w:sz="4" w:space="0"/>
            </w:tcBorders>
            <w:noWrap w:val="0"/>
            <w:vAlign w:val="center"/>
          </w:tcPr>
          <w:p w14:paraId="27EB3C45">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镇海区蛟川街道东港河1号地块东信东路263</w:t>
            </w:r>
            <w:r>
              <w:rPr>
                <w:rStyle w:val="13"/>
                <w:rFonts w:hint="eastAsia" w:ascii="宋体" w:hAnsi="宋体" w:eastAsia="宋体" w:cs="宋体"/>
                <w:sz w:val="21"/>
                <w:szCs w:val="21"/>
                <w:lang w:val="en-US" w:eastAsia="zh-CN" w:bidi="ar"/>
              </w:rPr>
              <w:t>号</w:t>
            </w:r>
            <w:r>
              <w:rPr>
                <w:rFonts w:hint="eastAsia" w:ascii="宋体" w:hAnsi="宋体" w:eastAsia="宋体" w:cs="宋体"/>
                <w:i w:val="0"/>
                <w:iCs w:val="0"/>
                <w:color w:val="000000"/>
                <w:kern w:val="0"/>
                <w:sz w:val="21"/>
                <w:szCs w:val="21"/>
                <w:u w:val="none"/>
                <w:lang w:val="en-US" w:eastAsia="zh-CN" w:bidi="ar"/>
              </w:rPr>
              <w:t>1-5</w:t>
            </w:r>
            <w:r>
              <w:rPr>
                <w:rStyle w:val="13"/>
                <w:rFonts w:hint="eastAsia" w:ascii="宋体" w:hAnsi="宋体" w:eastAsia="宋体" w:cs="宋体"/>
                <w:sz w:val="21"/>
                <w:szCs w:val="21"/>
                <w:lang w:val="en-US" w:eastAsia="zh-CN" w:bidi="ar"/>
              </w:rPr>
              <w:t>室</w:t>
            </w:r>
          </w:p>
        </w:tc>
        <w:tc>
          <w:tcPr>
            <w:tcW w:w="855" w:type="dxa"/>
            <w:vMerge w:val="restart"/>
            <w:tcBorders>
              <w:top w:val="single" w:color="auto" w:sz="4" w:space="0"/>
              <w:left w:val="single" w:color="auto" w:sz="4" w:space="0"/>
              <w:right w:val="single" w:color="auto" w:sz="4" w:space="0"/>
            </w:tcBorders>
            <w:noWrap w:val="0"/>
            <w:vAlign w:val="center"/>
          </w:tcPr>
          <w:p w14:paraId="5225D897">
            <w:pPr>
              <w:widowControl/>
              <w:jc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lang w:val="en-US" w:eastAsia="zh-CN"/>
              </w:rPr>
              <w:t>商业</w:t>
            </w:r>
          </w:p>
        </w:tc>
        <w:tc>
          <w:tcPr>
            <w:tcW w:w="1154" w:type="dxa"/>
            <w:tcBorders>
              <w:top w:val="single" w:color="auto" w:sz="4" w:space="0"/>
              <w:left w:val="single" w:color="auto" w:sz="4" w:space="0"/>
              <w:bottom w:val="single" w:color="auto" w:sz="4" w:space="0"/>
              <w:right w:val="single" w:color="auto" w:sz="4" w:space="0"/>
            </w:tcBorders>
            <w:noWrap w:val="0"/>
            <w:vAlign w:val="center"/>
          </w:tcPr>
          <w:p w14:paraId="3020FB64">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34.94</w:t>
            </w:r>
          </w:p>
        </w:tc>
        <w:tc>
          <w:tcPr>
            <w:tcW w:w="1274" w:type="dxa"/>
            <w:vMerge w:val="restart"/>
            <w:tcBorders>
              <w:top w:val="single" w:color="auto" w:sz="4" w:space="0"/>
              <w:left w:val="single" w:color="auto" w:sz="4" w:space="0"/>
              <w:right w:val="single" w:color="auto" w:sz="4" w:space="0"/>
            </w:tcBorders>
            <w:noWrap w:val="0"/>
            <w:vAlign w:val="center"/>
          </w:tcPr>
          <w:p w14:paraId="0208EC50">
            <w:pPr>
              <w:widowControl/>
              <w:jc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lang w:val="en-US" w:eastAsia="zh-CN"/>
              </w:rPr>
              <w:t>965000</w:t>
            </w:r>
          </w:p>
        </w:tc>
        <w:tc>
          <w:tcPr>
            <w:tcW w:w="1062" w:type="dxa"/>
            <w:vMerge w:val="restart"/>
            <w:tcBorders>
              <w:top w:val="single" w:color="auto" w:sz="4" w:space="0"/>
              <w:left w:val="single" w:color="auto" w:sz="4" w:space="0"/>
              <w:right w:val="single" w:color="auto" w:sz="4" w:space="0"/>
            </w:tcBorders>
            <w:noWrap w:val="0"/>
            <w:vAlign w:val="center"/>
          </w:tcPr>
          <w:p w14:paraId="7CF1290D">
            <w:pPr>
              <w:widowControl/>
              <w:jc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lang w:val="en-US" w:eastAsia="zh-CN"/>
              </w:rPr>
              <w:t>100000</w:t>
            </w:r>
          </w:p>
        </w:tc>
        <w:tc>
          <w:tcPr>
            <w:tcW w:w="1060" w:type="dxa"/>
            <w:vMerge w:val="restart"/>
            <w:tcBorders>
              <w:top w:val="single" w:color="auto" w:sz="4" w:space="0"/>
              <w:left w:val="single" w:color="auto" w:sz="4" w:space="0"/>
              <w:right w:val="single" w:color="auto" w:sz="4" w:space="0"/>
            </w:tcBorders>
            <w:noWrap w:val="0"/>
            <w:vAlign w:val="center"/>
          </w:tcPr>
          <w:p w14:paraId="6BB71CE2">
            <w:pPr>
              <w:widowControl/>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lang w:val="en-US" w:eastAsia="zh-CN"/>
              </w:rPr>
              <w:t>5年</w:t>
            </w:r>
          </w:p>
        </w:tc>
        <w:tc>
          <w:tcPr>
            <w:tcW w:w="1326" w:type="dxa"/>
            <w:vMerge w:val="restart"/>
            <w:tcBorders>
              <w:top w:val="single" w:color="auto" w:sz="4" w:space="0"/>
              <w:left w:val="single" w:color="auto" w:sz="4" w:space="0"/>
              <w:right w:val="single" w:color="auto" w:sz="4" w:space="0"/>
            </w:tcBorders>
            <w:noWrap w:val="0"/>
            <w:vAlign w:val="center"/>
          </w:tcPr>
          <w:p w14:paraId="28D6E46E">
            <w:pPr>
              <w:widowControl/>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前三年的年租金为成交价，第四年及第五年的年租金在成交价的基础上递增5%</w:t>
            </w:r>
          </w:p>
        </w:tc>
      </w:tr>
      <w:tr w14:paraId="677597C6">
        <w:tblPrEx>
          <w:tblCellMar>
            <w:top w:w="0" w:type="dxa"/>
            <w:left w:w="108" w:type="dxa"/>
            <w:bottom w:w="0" w:type="dxa"/>
            <w:right w:w="108" w:type="dxa"/>
          </w:tblCellMar>
        </w:tblPrEx>
        <w:trPr>
          <w:trHeight w:val="1208" w:hRule="atLeast"/>
        </w:trPr>
        <w:tc>
          <w:tcPr>
            <w:tcW w:w="656" w:type="dxa"/>
            <w:vMerge w:val="continue"/>
            <w:tcBorders>
              <w:left w:val="single" w:color="auto" w:sz="4" w:space="0"/>
              <w:right w:val="single" w:color="auto" w:sz="4" w:space="0"/>
            </w:tcBorders>
            <w:noWrap w:val="0"/>
            <w:vAlign w:val="center"/>
          </w:tcPr>
          <w:p w14:paraId="6AC951B8">
            <w:pPr>
              <w:widowControl/>
              <w:jc w:val="center"/>
              <w:rPr>
                <w:rFonts w:hint="eastAsia" w:ascii="宋体" w:hAnsi="宋体" w:eastAsia="宋体" w:cs="宋体"/>
                <w:color w:val="000000"/>
                <w:kern w:val="0"/>
                <w:sz w:val="21"/>
                <w:szCs w:val="21"/>
                <w:highlight w:val="none"/>
              </w:rPr>
            </w:pPr>
          </w:p>
        </w:tc>
        <w:tc>
          <w:tcPr>
            <w:tcW w:w="2571" w:type="dxa"/>
            <w:tcBorders>
              <w:top w:val="single" w:color="auto" w:sz="4" w:space="0"/>
              <w:left w:val="single" w:color="auto" w:sz="4" w:space="0"/>
              <w:bottom w:val="single" w:color="auto" w:sz="4" w:space="0"/>
              <w:right w:val="single" w:color="auto" w:sz="4" w:space="0"/>
            </w:tcBorders>
            <w:noWrap w:val="0"/>
            <w:vAlign w:val="center"/>
          </w:tcPr>
          <w:p w14:paraId="27035D69">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镇海区蛟川街道东港河1号地块东信东路265</w:t>
            </w:r>
            <w:r>
              <w:rPr>
                <w:rStyle w:val="13"/>
                <w:rFonts w:hint="eastAsia" w:ascii="宋体" w:hAnsi="宋体" w:eastAsia="宋体" w:cs="宋体"/>
                <w:sz w:val="21"/>
                <w:szCs w:val="21"/>
                <w:lang w:val="en-US" w:eastAsia="zh-CN" w:bidi="ar"/>
              </w:rPr>
              <w:t>号</w:t>
            </w:r>
            <w:r>
              <w:rPr>
                <w:rFonts w:hint="eastAsia" w:ascii="宋体" w:hAnsi="宋体" w:eastAsia="宋体" w:cs="宋体"/>
                <w:i w:val="0"/>
                <w:iCs w:val="0"/>
                <w:color w:val="000000"/>
                <w:kern w:val="0"/>
                <w:sz w:val="21"/>
                <w:szCs w:val="21"/>
                <w:u w:val="none"/>
                <w:lang w:val="en-US" w:eastAsia="zh-CN" w:bidi="ar"/>
              </w:rPr>
              <w:t>1-6,2-3</w:t>
            </w:r>
            <w:r>
              <w:rPr>
                <w:rStyle w:val="13"/>
                <w:rFonts w:hint="eastAsia" w:ascii="宋体" w:hAnsi="宋体" w:eastAsia="宋体" w:cs="宋体"/>
                <w:sz w:val="21"/>
                <w:szCs w:val="21"/>
                <w:lang w:val="en-US" w:eastAsia="zh-CN" w:bidi="ar"/>
              </w:rPr>
              <w:t>室</w:t>
            </w:r>
          </w:p>
        </w:tc>
        <w:tc>
          <w:tcPr>
            <w:tcW w:w="855" w:type="dxa"/>
            <w:vMerge w:val="continue"/>
            <w:tcBorders>
              <w:left w:val="single" w:color="auto" w:sz="4" w:space="0"/>
              <w:right w:val="single" w:color="auto" w:sz="4" w:space="0"/>
            </w:tcBorders>
            <w:noWrap w:val="0"/>
            <w:vAlign w:val="center"/>
          </w:tcPr>
          <w:p w14:paraId="26676E9A">
            <w:pPr>
              <w:widowControl/>
              <w:jc w:val="center"/>
              <w:rPr>
                <w:rFonts w:hint="eastAsia" w:ascii="宋体" w:hAnsi="宋体" w:eastAsia="宋体" w:cs="宋体"/>
                <w:color w:val="000000"/>
                <w:kern w:val="0"/>
                <w:sz w:val="21"/>
                <w:szCs w:val="21"/>
                <w:highlight w:val="none"/>
                <w:lang w:val="en-US" w:eastAsia="zh-CN"/>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37876D2F">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140.30</w:t>
            </w:r>
          </w:p>
        </w:tc>
        <w:tc>
          <w:tcPr>
            <w:tcW w:w="1274" w:type="dxa"/>
            <w:vMerge w:val="continue"/>
            <w:tcBorders>
              <w:left w:val="single" w:color="auto" w:sz="4" w:space="0"/>
              <w:right w:val="single" w:color="auto" w:sz="4" w:space="0"/>
            </w:tcBorders>
            <w:noWrap w:val="0"/>
            <w:vAlign w:val="center"/>
          </w:tcPr>
          <w:p w14:paraId="20D77BF6">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tcBorders>
              <w:left w:val="single" w:color="auto" w:sz="4" w:space="0"/>
              <w:right w:val="single" w:color="auto" w:sz="4" w:space="0"/>
            </w:tcBorders>
            <w:noWrap w:val="0"/>
            <w:vAlign w:val="center"/>
          </w:tcPr>
          <w:p w14:paraId="719DA9D9">
            <w:pPr>
              <w:widowControl/>
              <w:jc w:val="center"/>
              <w:rPr>
                <w:rFonts w:hint="eastAsia" w:ascii="宋体" w:hAnsi="宋体" w:eastAsia="宋体" w:cs="宋体"/>
                <w:color w:val="000000"/>
                <w:kern w:val="0"/>
                <w:sz w:val="21"/>
                <w:szCs w:val="21"/>
                <w:highlight w:val="none"/>
                <w:lang w:val="en-US"/>
              </w:rPr>
            </w:pPr>
          </w:p>
        </w:tc>
        <w:tc>
          <w:tcPr>
            <w:tcW w:w="1060" w:type="dxa"/>
            <w:vMerge w:val="continue"/>
            <w:tcBorders>
              <w:left w:val="single" w:color="auto" w:sz="4" w:space="0"/>
              <w:right w:val="single" w:color="auto" w:sz="4" w:space="0"/>
            </w:tcBorders>
            <w:noWrap w:val="0"/>
            <w:vAlign w:val="center"/>
          </w:tcPr>
          <w:p w14:paraId="1F26B2FA">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tcBorders>
              <w:left w:val="single" w:color="auto" w:sz="4" w:space="0"/>
              <w:right w:val="single" w:color="auto" w:sz="4" w:space="0"/>
            </w:tcBorders>
            <w:noWrap w:val="0"/>
            <w:vAlign w:val="center"/>
          </w:tcPr>
          <w:p w14:paraId="0877AA35">
            <w:pPr>
              <w:widowControl/>
              <w:jc w:val="center"/>
              <w:textAlignment w:val="center"/>
              <w:rPr>
                <w:rFonts w:hint="eastAsia" w:ascii="宋体" w:hAnsi="宋体" w:eastAsia="宋体" w:cs="宋体"/>
                <w:color w:val="000000"/>
                <w:kern w:val="0"/>
                <w:sz w:val="21"/>
                <w:szCs w:val="21"/>
                <w:highlight w:val="none"/>
              </w:rPr>
            </w:pPr>
          </w:p>
        </w:tc>
      </w:tr>
      <w:tr w14:paraId="49DE7C87">
        <w:tblPrEx>
          <w:tblCellMar>
            <w:top w:w="0" w:type="dxa"/>
            <w:left w:w="108" w:type="dxa"/>
            <w:bottom w:w="0" w:type="dxa"/>
            <w:right w:w="108" w:type="dxa"/>
          </w:tblCellMar>
        </w:tblPrEx>
        <w:trPr>
          <w:trHeight w:val="1208" w:hRule="atLeast"/>
        </w:trPr>
        <w:tc>
          <w:tcPr>
            <w:tcW w:w="656" w:type="dxa"/>
            <w:vMerge w:val="continue"/>
            <w:tcBorders>
              <w:left w:val="single" w:color="auto" w:sz="4" w:space="0"/>
              <w:right w:val="single" w:color="auto" w:sz="4" w:space="0"/>
            </w:tcBorders>
            <w:noWrap w:val="0"/>
            <w:vAlign w:val="center"/>
          </w:tcPr>
          <w:p w14:paraId="3A6F9C1E">
            <w:pPr>
              <w:widowControl/>
              <w:jc w:val="center"/>
              <w:rPr>
                <w:rFonts w:hint="eastAsia" w:ascii="宋体" w:hAnsi="宋体" w:eastAsia="宋体" w:cs="宋体"/>
                <w:color w:val="000000"/>
                <w:kern w:val="0"/>
                <w:sz w:val="21"/>
                <w:szCs w:val="21"/>
                <w:highlight w:val="none"/>
              </w:rPr>
            </w:pPr>
          </w:p>
        </w:tc>
        <w:tc>
          <w:tcPr>
            <w:tcW w:w="2571" w:type="dxa"/>
            <w:tcBorders>
              <w:top w:val="single" w:color="auto" w:sz="4" w:space="0"/>
              <w:left w:val="single" w:color="auto" w:sz="4" w:space="0"/>
              <w:bottom w:val="single" w:color="auto" w:sz="4" w:space="0"/>
              <w:right w:val="single" w:color="auto" w:sz="4" w:space="0"/>
            </w:tcBorders>
            <w:noWrap w:val="0"/>
            <w:vAlign w:val="center"/>
          </w:tcPr>
          <w:p w14:paraId="5EA97347">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镇海区蛟川街道东港河1号地块东信东路267</w:t>
            </w:r>
            <w:r>
              <w:rPr>
                <w:rStyle w:val="13"/>
                <w:rFonts w:hint="eastAsia" w:ascii="宋体" w:hAnsi="宋体" w:eastAsia="宋体" w:cs="宋体"/>
                <w:sz w:val="21"/>
                <w:szCs w:val="21"/>
                <w:lang w:val="en-US" w:eastAsia="zh-CN" w:bidi="ar"/>
              </w:rPr>
              <w:t>号</w:t>
            </w:r>
            <w:r>
              <w:rPr>
                <w:rFonts w:hint="eastAsia" w:ascii="宋体" w:hAnsi="宋体" w:eastAsia="宋体" w:cs="宋体"/>
                <w:i w:val="0"/>
                <w:iCs w:val="0"/>
                <w:color w:val="000000"/>
                <w:kern w:val="0"/>
                <w:sz w:val="21"/>
                <w:szCs w:val="21"/>
                <w:u w:val="none"/>
                <w:lang w:val="en-US" w:eastAsia="zh-CN" w:bidi="ar"/>
              </w:rPr>
              <w:t>1-7,2-4</w:t>
            </w:r>
            <w:r>
              <w:rPr>
                <w:rStyle w:val="13"/>
                <w:rFonts w:hint="eastAsia" w:ascii="宋体" w:hAnsi="宋体" w:eastAsia="宋体" w:cs="宋体"/>
                <w:sz w:val="21"/>
                <w:szCs w:val="21"/>
                <w:lang w:val="en-US" w:eastAsia="zh-CN" w:bidi="ar"/>
              </w:rPr>
              <w:t>室</w:t>
            </w:r>
          </w:p>
        </w:tc>
        <w:tc>
          <w:tcPr>
            <w:tcW w:w="855" w:type="dxa"/>
            <w:vMerge w:val="continue"/>
            <w:tcBorders>
              <w:left w:val="single" w:color="auto" w:sz="4" w:space="0"/>
              <w:right w:val="single" w:color="auto" w:sz="4" w:space="0"/>
            </w:tcBorders>
            <w:noWrap w:val="0"/>
            <w:vAlign w:val="center"/>
          </w:tcPr>
          <w:p w14:paraId="1C1A7577">
            <w:pPr>
              <w:widowControl/>
              <w:jc w:val="center"/>
              <w:rPr>
                <w:rFonts w:hint="eastAsia" w:ascii="宋体" w:hAnsi="宋体" w:eastAsia="宋体" w:cs="宋体"/>
                <w:color w:val="000000"/>
                <w:kern w:val="0"/>
                <w:sz w:val="21"/>
                <w:szCs w:val="21"/>
                <w:highlight w:val="none"/>
                <w:lang w:val="en-US" w:eastAsia="zh-CN"/>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5E04AB3A">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148.56</w:t>
            </w:r>
          </w:p>
        </w:tc>
        <w:tc>
          <w:tcPr>
            <w:tcW w:w="1274" w:type="dxa"/>
            <w:vMerge w:val="continue"/>
            <w:tcBorders>
              <w:left w:val="single" w:color="auto" w:sz="4" w:space="0"/>
              <w:right w:val="single" w:color="auto" w:sz="4" w:space="0"/>
            </w:tcBorders>
            <w:noWrap w:val="0"/>
            <w:vAlign w:val="center"/>
          </w:tcPr>
          <w:p w14:paraId="7554B316">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tcBorders>
              <w:left w:val="single" w:color="auto" w:sz="4" w:space="0"/>
              <w:right w:val="single" w:color="auto" w:sz="4" w:space="0"/>
            </w:tcBorders>
            <w:noWrap w:val="0"/>
            <w:vAlign w:val="center"/>
          </w:tcPr>
          <w:p w14:paraId="36F3B99B">
            <w:pPr>
              <w:widowControl/>
              <w:jc w:val="center"/>
              <w:rPr>
                <w:rFonts w:hint="eastAsia" w:ascii="宋体" w:hAnsi="宋体" w:eastAsia="宋体" w:cs="宋体"/>
                <w:color w:val="000000"/>
                <w:kern w:val="0"/>
                <w:sz w:val="21"/>
                <w:szCs w:val="21"/>
                <w:highlight w:val="none"/>
                <w:lang w:val="en-US"/>
              </w:rPr>
            </w:pPr>
          </w:p>
        </w:tc>
        <w:tc>
          <w:tcPr>
            <w:tcW w:w="1060" w:type="dxa"/>
            <w:vMerge w:val="continue"/>
            <w:tcBorders>
              <w:left w:val="single" w:color="auto" w:sz="4" w:space="0"/>
              <w:right w:val="single" w:color="auto" w:sz="4" w:space="0"/>
            </w:tcBorders>
            <w:noWrap w:val="0"/>
            <w:vAlign w:val="center"/>
          </w:tcPr>
          <w:p w14:paraId="5D1A9CE7">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tcBorders>
              <w:left w:val="single" w:color="auto" w:sz="4" w:space="0"/>
              <w:right w:val="single" w:color="auto" w:sz="4" w:space="0"/>
            </w:tcBorders>
            <w:noWrap w:val="0"/>
            <w:vAlign w:val="center"/>
          </w:tcPr>
          <w:p w14:paraId="2F86E976">
            <w:pPr>
              <w:widowControl/>
              <w:jc w:val="center"/>
              <w:textAlignment w:val="center"/>
              <w:rPr>
                <w:rFonts w:hint="eastAsia" w:ascii="宋体" w:hAnsi="宋体" w:eastAsia="宋体" w:cs="宋体"/>
                <w:color w:val="000000"/>
                <w:kern w:val="0"/>
                <w:sz w:val="21"/>
                <w:szCs w:val="21"/>
                <w:highlight w:val="none"/>
              </w:rPr>
            </w:pPr>
          </w:p>
        </w:tc>
      </w:tr>
      <w:tr w14:paraId="1A64BF0E">
        <w:tblPrEx>
          <w:tblCellMar>
            <w:top w:w="0" w:type="dxa"/>
            <w:left w:w="108" w:type="dxa"/>
            <w:bottom w:w="0" w:type="dxa"/>
            <w:right w:w="108" w:type="dxa"/>
          </w:tblCellMar>
        </w:tblPrEx>
        <w:trPr>
          <w:trHeight w:val="1208" w:hRule="atLeast"/>
        </w:trPr>
        <w:tc>
          <w:tcPr>
            <w:tcW w:w="656" w:type="dxa"/>
            <w:vMerge w:val="continue"/>
            <w:tcBorders>
              <w:left w:val="single" w:color="auto" w:sz="4" w:space="0"/>
              <w:right w:val="single" w:color="auto" w:sz="4" w:space="0"/>
            </w:tcBorders>
            <w:noWrap w:val="0"/>
            <w:vAlign w:val="center"/>
          </w:tcPr>
          <w:p w14:paraId="67C65279">
            <w:pPr>
              <w:widowControl/>
              <w:jc w:val="center"/>
              <w:rPr>
                <w:rFonts w:hint="eastAsia" w:ascii="宋体" w:hAnsi="宋体" w:eastAsia="宋体" w:cs="宋体"/>
                <w:color w:val="000000"/>
                <w:kern w:val="0"/>
                <w:sz w:val="21"/>
                <w:szCs w:val="21"/>
                <w:highlight w:val="none"/>
              </w:rPr>
            </w:pPr>
          </w:p>
        </w:tc>
        <w:tc>
          <w:tcPr>
            <w:tcW w:w="2571" w:type="dxa"/>
            <w:tcBorders>
              <w:top w:val="single" w:color="auto" w:sz="4" w:space="0"/>
              <w:left w:val="single" w:color="auto" w:sz="4" w:space="0"/>
              <w:bottom w:val="single" w:color="auto" w:sz="4" w:space="0"/>
              <w:right w:val="single" w:color="auto" w:sz="4" w:space="0"/>
            </w:tcBorders>
            <w:noWrap w:val="0"/>
            <w:vAlign w:val="center"/>
          </w:tcPr>
          <w:p w14:paraId="7F88DB98">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镇海区蛟川街道东港河1号地块东信东路271</w:t>
            </w:r>
            <w:r>
              <w:rPr>
                <w:rStyle w:val="13"/>
                <w:rFonts w:hint="eastAsia" w:ascii="宋体" w:hAnsi="宋体" w:eastAsia="宋体" w:cs="宋体"/>
                <w:sz w:val="21"/>
                <w:szCs w:val="21"/>
                <w:lang w:val="en-US" w:eastAsia="zh-CN" w:bidi="ar"/>
              </w:rPr>
              <w:t>号</w:t>
            </w:r>
            <w:r>
              <w:rPr>
                <w:rFonts w:hint="eastAsia" w:ascii="宋体" w:hAnsi="宋体" w:eastAsia="宋体" w:cs="宋体"/>
                <w:i w:val="0"/>
                <w:iCs w:val="0"/>
                <w:color w:val="000000"/>
                <w:kern w:val="0"/>
                <w:sz w:val="21"/>
                <w:szCs w:val="21"/>
                <w:u w:val="none"/>
                <w:lang w:val="en-US" w:eastAsia="zh-CN" w:bidi="ar"/>
              </w:rPr>
              <w:t>1-8,2-5</w:t>
            </w:r>
            <w:r>
              <w:rPr>
                <w:rStyle w:val="13"/>
                <w:rFonts w:hint="eastAsia" w:ascii="宋体" w:hAnsi="宋体" w:eastAsia="宋体" w:cs="宋体"/>
                <w:sz w:val="21"/>
                <w:szCs w:val="21"/>
                <w:lang w:val="en-US" w:eastAsia="zh-CN" w:bidi="ar"/>
              </w:rPr>
              <w:t>室</w:t>
            </w:r>
          </w:p>
        </w:tc>
        <w:tc>
          <w:tcPr>
            <w:tcW w:w="855" w:type="dxa"/>
            <w:vMerge w:val="continue"/>
            <w:tcBorders>
              <w:left w:val="single" w:color="auto" w:sz="4" w:space="0"/>
              <w:right w:val="single" w:color="auto" w:sz="4" w:space="0"/>
            </w:tcBorders>
            <w:noWrap w:val="0"/>
            <w:vAlign w:val="center"/>
          </w:tcPr>
          <w:p w14:paraId="5C9CC54D">
            <w:pPr>
              <w:widowControl/>
              <w:jc w:val="center"/>
              <w:rPr>
                <w:rFonts w:hint="eastAsia" w:ascii="宋体" w:hAnsi="宋体" w:eastAsia="宋体" w:cs="宋体"/>
                <w:color w:val="000000"/>
                <w:kern w:val="0"/>
                <w:sz w:val="21"/>
                <w:szCs w:val="21"/>
                <w:highlight w:val="none"/>
                <w:lang w:val="en-US" w:eastAsia="zh-CN"/>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2D9A9367">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161.58</w:t>
            </w:r>
          </w:p>
        </w:tc>
        <w:tc>
          <w:tcPr>
            <w:tcW w:w="1274" w:type="dxa"/>
            <w:vMerge w:val="continue"/>
            <w:tcBorders>
              <w:left w:val="single" w:color="auto" w:sz="4" w:space="0"/>
              <w:right w:val="single" w:color="auto" w:sz="4" w:space="0"/>
            </w:tcBorders>
            <w:noWrap w:val="0"/>
            <w:vAlign w:val="center"/>
          </w:tcPr>
          <w:p w14:paraId="577A5A45">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tcBorders>
              <w:left w:val="single" w:color="auto" w:sz="4" w:space="0"/>
              <w:right w:val="single" w:color="auto" w:sz="4" w:space="0"/>
            </w:tcBorders>
            <w:noWrap w:val="0"/>
            <w:vAlign w:val="center"/>
          </w:tcPr>
          <w:p w14:paraId="3DECF75E">
            <w:pPr>
              <w:widowControl/>
              <w:jc w:val="center"/>
              <w:rPr>
                <w:rFonts w:hint="eastAsia" w:ascii="宋体" w:hAnsi="宋体" w:eastAsia="宋体" w:cs="宋体"/>
                <w:color w:val="000000"/>
                <w:kern w:val="0"/>
                <w:sz w:val="21"/>
                <w:szCs w:val="21"/>
                <w:highlight w:val="none"/>
                <w:lang w:val="en-US"/>
              </w:rPr>
            </w:pPr>
          </w:p>
        </w:tc>
        <w:tc>
          <w:tcPr>
            <w:tcW w:w="1060" w:type="dxa"/>
            <w:vMerge w:val="continue"/>
            <w:tcBorders>
              <w:left w:val="single" w:color="auto" w:sz="4" w:space="0"/>
              <w:right w:val="single" w:color="auto" w:sz="4" w:space="0"/>
            </w:tcBorders>
            <w:noWrap w:val="0"/>
            <w:vAlign w:val="center"/>
          </w:tcPr>
          <w:p w14:paraId="14B4D51D">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tcBorders>
              <w:left w:val="single" w:color="auto" w:sz="4" w:space="0"/>
              <w:right w:val="single" w:color="auto" w:sz="4" w:space="0"/>
            </w:tcBorders>
            <w:noWrap w:val="0"/>
            <w:vAlign w:val="center"/>
          </w:tcPr>
          <w:p w14:paraId="0D340DAF">
            <w:pPr>
              <w:widowControl/>
              <w:jc w:val="center"/>
              <w:textAlignment w:val="center"/>
              <w:rPr>
                <w:rFonts w:hint="eastAsia" w:ascii="宋体" w:hAnsi="宋体" w:eastAsia="宋体" w:cs="宋体"/>
                <w:color w:val="000000"/>
                <w:kern w:val="0"/>
                <w:sz w:val="21"/>
                <w:szCs w:val="21"/>
                <w:highlight w:val="none"/>
              </w:rPr>
            </w:pPr>
          </w:p>
        </w:tc>
      </w:tr>
      <w:tr w14:paraId="68EB3F73">
        <w:tblPrEx>
          <w:tblCellMar>
            <w:top w:w="0" w:type="dxa"/>
            <w:left w:w="108" w:type="dxa"/>
            <w:bottom w:w="0" w:type="dxa"/>
            <w:right w:w="108" w:type="dxa"/>
          </w:tblCellMar>
        </w:tblPrEx>
        <w:trPr>
          <w:trHeight w:val="1208" w:hRule="atLeast"/>
        </w:trPr>
        <w:tc>
          <w:tcPr>
            <w:tcW w:w="656" w:type="dxa"/>
            <w:vMerge w:val="continue"/>
            <w:tcBorders>
              <w:left w:val="single" w:color="auto" w:sz="4" w:space="0"/>
              <w:right w:val="single" w:color="auto" w:sz="4" w:space="0"/>
            </w:tcBorders>
            <w:noWrap w:val="0"/>
            <w:vAlign w:val="center"/>
          </w:tcPr>
          <w:p w14:paraId="61B35C71">
            <w:pPr>
              <w:widowControl/>
              <w:jc w:val="center"/>
              <w:rPr>
                <w:rFonts w:hint="eastAsia" w:ascii="宋体" w:hAnsi="宋体" w:eastAsia="宋体" w:cs="宋体"/>
                <w:color w:val="000000"/>
                <w:kern w:val="0"/>
                <w:sz w:val="21"/>
                <w:szCs w:val="21"/>
                <w:highlight w:val="none"/>
              </w:rPr>
            </w:pPr>
          </w:p>
        </w:tc>
        <w:tc>
          <w:tcPr>
            <w:tcW w:w="2571" w:type="dxa"/>
            <w:tcBorders>
              <w:top w:val="single" w:color="auto" w:sz="4" w:space="0"/>
              <w:left w:val="single" w:color="auto" w:sz="4" w:space="0"/>
              <w:bottom w:val="single" w:color="auto" w:sz="4" w:space="0"/>
              <w:right w:val="single" w:color="auto" w:sz="4" w:space="0"/>
            </w:tcBorders>
            <w:noWrap w:val="0"/>
            <w:vAlign w:val="center"/>
          </w:tcPr>
          <w:p w14:paraId="62163AB0">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镇海区蛟川街道东港河1号地块东信东路295</w:t>
            </w:r>
            <w:r>
              <w:rPr>
                <w:rStyle w:val="13"/>
                <w:rFonts w:hint="eastAsia" w:ascii="宋体" w:hAnsi="宋体" w:eastAsia="宋体" w:cs="宋体"/>
                <w:sz w:val="21"/>
                <w:szCs w:val="21"/>
                <w:lang w:val="en-US" w:eastAsia="zh-CN" w:bidi="ar"/>
              </w:rPr>
              <w:t>号</w:t>
            </w:r>
            <w:r>
              <w:rPr>
                <w:rFonts w:hint="eastAsia" w:ascii="宋体" w:hAnsi="宋体" w:eastAsia="宋体" w:cs="宋体"/>
                <w:i w:val="0"/>
                <w:iCs w:val="0"/>
                <w:color w:val="000000"/>
                <w:kern w:val="0"/>
                <w:sz w:val="21"/>
                <w:szCs w:val="21"/>
                <w:u w:val="none"/>
                <w:lang w:val="en-US" w:eastAsia="zh-CN" w:bidi="ar"/>
              </w:rPr>
              <w:t>1-1,2-1</w:t>
            </w:r>
            <w:r>
              <w:rPr>
                <w:rStyle w:val="13"/>
                <w:rFonts w:hint="eastAsia" w:ascii="宋体" w:hAnsi="宋体" w:eastAsia="宋体" w:cs="宋体"/>
                <w:sz w:val="21"/>
                <w:szCs w:val="21"/>
                <w:lang w:val="en-US" w:eastAsia="zh-CN" w:bidi="ar"/>
              </w:rPr>
              <w:t>室</w:t>
            </w:r>
          </w:p>
        </w:tc>
        <w:tc>
          <w:tcPr>
            <w:tcW w:w="855" w:type="dxa"/>
            <w:vMerge w:val="continue"/>
            <w:tcBorders>
              <w:left w:val="single" w:color="auto" w:sz="4" w:space="0"/>
              <w:right w:val="single" w:color="auto" w:sz="4" w:space="0"/>
            </w:tcBorders>
            <w:noWrap w:val="0"/>
            <w:vAlign w:val="center"/>
          </w:tcPr>
          <w:p w14:paraId="7AE0E835">
            <w:pPr>
              <w:widowControl/>
              <w:jc w:val="center"/>
              <w:rPr>
                <w:rFonts w:hint="eastAsia" w:ascii="宋体" w:hAnsi="宋体" w:eastAsia="宋体" w:cs="宋体"/>
                <w:color w:val="000000"/>
                <w:kern w:val="0"/>
                <w:sz w:val="21"/>
                <w:szCs w:val="21"/>
                <w:highlight w:val="none"/>
                <w:lang w:val="en-US" w:eastAsia="zh-CN"/>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51D1C1F2">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161.48</w:t>
            </w:r>
          </w:p>
        </w:tc>
        <w:tc>
          <w:tcPr>
            <w:tcW w:w="1274" w:type="dxa"/>
            <w:vMerge w:val="continue"/>
            <w:tcBorders>
              <w:left w:val="single" w:color="auto" w:sz="4" w:space="0"/>
              <w:right w:val="single" w:color="auto" w:sz="4" w:space="0"/>
            </w:tcBorders>
            <w:noWrap w:val="0"/>
            <w:vAlign w:val="center"/>
          </w:tcPr>
          <w:p w14:paraId="1121E376">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tcBorders>
              <w:left w:val="single" w:color="auto" w:sz="4" w:space="0"/>
              <w:right w:val="single" w:color="auto" w:sz="4" w:space="0"/>
            </w:tcBorders>
            <w:noWrap w:val="0"/>
            <w:vAlign w:val="center"/>
          </w:tcPr>
          <w:p w14:paraId="0D18046E">
            <w:pPr>
              <w:widowControl/>
              <w:jc w:val="center"/>
              <w:rPr>
                <w:rFonts w:hint="eastAsia" w:ascii="宋体" w:hAnsi="宋体" w:eastAsia="宋体" w:cs="宋体"/>
                <w:color w:val="000000"/>
                <w:kern w:val="0"/>
                <w:sz w:val="21"/>
                <w:szCs w:val="21"/>
                <w:highlight w:val="none"/>
                <w:lang w:val="en-US"/>
              </w:rPr>
            </w:pPr>
          </w:p>
        </w:tc>
        <w:tc>
          <w:tcPr>
            <w:tcW w:w="1060" w:type="dxa"/>
            <w:vMerge w:val="continue"/>
            <w:tcBorders>
              <w:left w:val="single" w:color="auto" w:sz="4" w:space="0"/>
              <w:right w:val="single" w:color="auto" w:sz="4" w:space="0"/>
            </w:tcBorders>
            <w:noWrap w:val="0"/>
            <w:vAlign w:val="center"/>
          </w:tcPr>
          <w:p w14:paraId="7214FA3C">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tcBorders>
              <w:left w:val="single" w:color="auto" w:sz="4" w:space="0"/>
              <w:right w:val="single" w:color="auto" w:sz="4" w:space="0"/>
            </w:tcBorders>
            <w:noWrap w:val="0"/>
            <w:vAlign w:val="center"/>
          </w:tcPr>
          <w:p w14:paraId="3CA2A809">
            <w:pPr>
              <w:widowControl/>
              <w:jc w:val="center"/>
              <w:textAlignment w:val="center"/>
              <w:rPr>
                <w:rFonts w:hint="eastAsia" w:ascii="宋体" w:hAnsi="宋体" w:eastAsia="宋体" w:cs="宋体"/>
                <w:color w:val="000000"/>
                <w:kern w:val="0"/>
                <w:sz w:val="21"/>
                <w:szCs w:val="21"/>
                <w:highlight w:val="none"/>
              </w:rPr>
            </w:pPr>
          </w:p>
        </w:tc>
      </w:tr>
      <w:tr w14:paraId="66039CD4">
        <w:tblPrEx>
          <w:tblCellMar>
            <w:top w:w="0" w:type="dxa"/>
            <w:left w:w="108" w:type="dxa"/>
            <w:bottom w:w="0" w:type="dxa"/>
            <w:right w:w="108" w:type="dxa"/>
          </w:tblCellMar>
        </w:tblPrEx>
        <w:trPr>
          <w:trHeight w:val="1208" w:hRule="atLeast"/>
        </w:trPr>
        <w:tc>
          <w:tcPr>
            <w:tcW w:w="656" w:type="dxa"/>
            <w:vMerge w:val="continue"/>
            <w:tcBorders>
              <w:left w:val="single" w:color="auto" w:sz="4" w:space="0"/>
              <w:right w:val="single" w:color="auto" w:sz="4" w:space="0"/>
            </w:tcBorders>
            <w:noWrap w:val="0"/>
            <w:vAlign w:val="center"/>
          </w:tcPr>
          <w:p w14:paraId="604A13B3">
            <w:pPr>
              <w:widowControl/>
              <w:jc w:val="center"/>
              <w:rPr>
                <w:rFonts w:hint="eastAsia" w:ascii="宋体" w:hAnsi="宋体" w:eastAsia="宋体" w:cs="宋体"/>
                <w:color w:val="000000"/>
                <w:kern w:val="0"/>
                <w:sz w:val="21"/>
                <w:szCs w:val="21"/>
                <w:highlight w:val="none"/>
              </w:rPr>
            </w:pPr>
          </w:p>
        </w:tc>
        <w:tc>
          <w:tcPr>
            <w:tcW w:w="2571" w:type="dxa"/>
            <w:tcBorders>
              <w:top w:val="single" w:color="auto" w:sz="4" w:space="0"/>
              <w:left w:val="single" w:color="auto" w:sz="4" w:space="0"/>
              <w:bottom w:val="single" w:color="auto" w:sz="4" w:space="0"/>
              <w:right w:val="single" w:color="auto" w:sz="4" w:space="0"/>
            </w:tcBorders>
            <w:noWrap w:val="0"/>
            <w:vAlign w:val="center"/>
          </w:tcPr>
          <w:p w14:paraId="20B92132">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镇海区蛟川街道东港河1号地块东信东路297</w:t>
            </w:r>
            <w:r>
              <w:rPr>
                <w:rStyle w:val="13"/>
                <w:rFonts w:hint="eastAsia" w:ascii="宋体" w:hAnsi="宋体" w:eastAsia="宋体" w:cs="宋体"/>
                <w:sz w:val="21"/>
                <w:szCs w:val="21"/>
                <w:lang w:val="en-US" w:eastAsia="zh-CN" w:bidi="ar"/>
              </w:rPr>
              <w:t>号</w:t>
            </w:r>
            <w:r>
              <w:rPr>
                <w:rFonts w:hint="eastAsia" w:ascii="宋体" w:hAnsi="宋体" w:eastAsia="宋体" w:cs="宋体"/>
                <w:i w:val="0"/>
                <w:iCs w:val="0"/>
                <w:color w:val="000000"/>
                <w:kern w:val="0"/>
                <w:sz w:val="21"/>
                <w:szCs w:val="21"/>
                <w:u w:val="none"/>
                <w:lang w:val="en-US" w:eastAsia="zh-CN" w:bidi="ar"/>
              </w:rPr>
              <w:t>1-2,2-2</w:t>
            </w:r>
            <w:r>
              <w:rPr>
                <w:rStyle w:val="13"/>
                <w:rFonts w:hint="eastAsia" w:ascii="宋体" w:hAnsi="宋体" w:eastAsia="宋体" w:cs="宋体"/>
                <w:sz w:val="21"/>
                <w:szCs w:val="21"/>
                <w:lang w:val="en-US" w:eastAsia="zh-CN" w:bidi="ar"/>
              </w:rPr>
              <w:t>室</w:t>
            </w:r>
          </w:p>
        </w:tc>
        <w:tc>
          <w:tcPr>
            <w:tcW w:w="855" w:type="dxa"/>
            <w:vMerge w:val="continue"/>
            <w:tcBorders>
              <w:left w:val="single" w:color="auto" w:sz="4" w:space="0"/>
              <w:right w:val="single" w:color="auto" w:sz="4" w:space="0"/>
            </w:tcBorders>
            <w:noWrap w:val="0"/>
            <w:vAlign w:val="center"/>
          </w:tcPr>
          <w:p w14:paraId="15532C18">
            <w:pPr>
              <w:widowControl/>
              <w:jc w:val="center"/>
              <w:rPr>
                <w:rFonts w:hint="eastAsia" w:ascii="宋体" w:hAnsi="宋体" w:eastAsia="宋体" w:cs="宋体"/>
                <w:color w:val="000000"/>
                <w:kern w:val="0"/>
                <w:sz w:val="21"/>
                <w:szCs w:val="21"/>
                <w:highlight w:val="none"/>
                <w:lang w:val="en-US" w:eastAsia="zh-CN"/>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1E55A035">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148.47</w:t>
            </w:r>
          </w:p>
        </w:tc>
        <w:tc>
          <w:tcPr>
            <w:tcW w:w="1274" w:type="dxa"/>
            <w:vMerge w:val="continue"/>
            <w:tcBorders>
              <w:left w:val="single" w:color="auto" w:sz="4" w:space="0"/>
              <w:right w:val="single" w:color="auto" w:sz="4" w:space="0"/>
            </w:tcBorders>
            <w:noWrap w:val="0"/>
            <w:vAlign w:val="center"/>
          </w:tcPr>
          <w:p w14:paraId="157BE148">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tcBorders>
              <w:left w:val="single" w:color="auto" w:sz="4" w:space="0"/>
              <w:right w:val="single" w:color="auto" w:sz="4" w:space="0"/>
            </w:tcBorders>
            <w:noWrap w:val="0"/>
            <w:vAlign w:val="center"/>
          </w:tcPr>
          <w:p w14:paraId="12CDCD69">
            <w:pPr>
              <w:widowControl/>
              <w:jc w:val="center"/>
              <w:rPr>
                <w:rFonts w:hint="eastAsia" w:ascii="宋体" w:hAnsi="宋体" w:eastAsia="宋体" w:cs="宋体"/>
                <w:color w:val="000000"/>
                <w:kern w:val="0"/>
                <w:sz w:val="21"/>
                <w:szCs w:val="21"/>
                <w:highlight w:val="none"/>
                <w:lang w:val="en-US"/>
              </w:rPr>
            </w:pPr>
          </w:p>
        </w:tc>
        <w:tc>
          <w:tcPr>
            <w:tcW w:w="1060" w:type="dxa"/>
            <w:vMerge w:val="continue"/>
            <w:tcBorders>
              <w:left w:val="single" w:color="auto" w:sz="4" w:space="0"/>
              <w:right w:val="single" w:color="auto" w:sz="4" w:space="0"/>
            </w:tcBorders>
            <w:noWrap w:val="0"/>
            <w:vAlign w:val="center"/>
          </w:tcPr>
          <w:p w14:paraId="4C5F8FA2">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tcBorders>
              <w:left w:val="single" w:color="auto" w:sz="4" w:space="0"/>
              <w:right w:val="single" w:color="auto" w:sz="4" w:space="0"/>
            </w:tcBorders>
            <w:noWrap w:val="0"/>
            <w:vAlign w:val="center"/>
          </w:tcPr>
          <w:p w14:paraId="1DC87EC2">
            <w:pPr>
              <w:widowControl/>
              <w:jc w:val="center"/>
              <w:textAlignment w:val="center"/>
              <w:rPr>
                <w:rFonts w:hint="eastAsia" w:ascii="宋体" w:hAnsi="宋体" w:eastAsia="宋体" w:cs="宋体"/>
                <w:color w:val="000000"/>
                <w:kern w:val="0"/>
                <w:sz w:val="21"/>
                <w:szCs w:val="21"/>
                <w:highlight w:val="none"/>
              </w:rPr>
            </w:pPr>
          </w:p>
        </w:tc>
      </w:tr>
      <w:tr w14:paraId="596577CD">
        <w:tblPrEx>
          <w:tblCellMar>
            <w:top w:w="0" w:type="dxa"/>
            <w:left w:w="108" w:type="dxa"/>
            <w:bottom w:w="0" w:type="dxa"/>
            <w:right w:w="108" w:type="dxa"/>
          </w:tblCellMar>
        </w:tblPrEx>
        <w:trPr>
          <w:trHeight w:val="1208" w:hRule="atLeast"/>
        </w:trPr>
        <w:tc>
          <w:tcPr>
            <w:tcW w:w="656" w:type="dxa"/>
            <w:vMerge w:val="continue"/>
            <w:tcBorders>
              <w:left w:val="single" w:color="auto" w:sz="4" w:space="0"/>
              <w:right w:val="single" w:color="auto" w:sz="4" w:space="0"/>
            </w:tcBorders>
            <w:noWrap w:val="0"/>
            <w:vAlign w:val="center"/>
          </w:tcPr>
          <w:p w14:paraId="51D7A10A">
            <w:pPr>
              <w:widowControl/>
              <w:jc w:val="center"/>
              <w:rPr>
                <w:rFonts w:hint="eastAsia" w:ascii="宋体" w:hAnsi="宋体" w:eastAsia="宋体" w:cs="宋体"/>
                <w:color w:val="000000"/>
                <w:kern w:val="0"/>
                <w:sz w:val="21"/>
                <w:szCs w:val="21"/>
                <w:highlight w:val="none"/>
              </w:rPr>
            </w:pPr>
          </w:p>
        </w:tc>
        <w:tc>
          <w:tcPr>
            <w:tcW w:w="2571" w:type="dxa"/>
            <w:tcBorders>
              <w:top w:val="single" w:color="auto" w:sz="4" w:space="0"/>
              <w:left w:val="single" w:color="auto" w:sz="4" w:space="0"/>
              <w:bottom w:val="single" w:color="auto" w:sz="4" w:space="0"/>
              <w:right w:val="single" w:color="auto" w:sz="4" w:space="0"/>
            </w:tcBorders>
            <w:noWrap w:val="0"/>
            <w:vAlign w:val="center"/>
          </w:tcPr>
          <w:p w14:paraId="6A2FDDA8">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镇海区蛟川街道东港河1号地块东信东路301</w:t>
            </w:r>
            <w:r>
              <w:rPr>
                <w:rStyle w:val="13"/>
                <w:rFonts w:hint="eastAsia" w:ascii="宋体" w:hAnsi="宋体" w:eastAsia="宋体" w:cs="宋体"/>
                <w:sz w:val="21"/>
                <w:szCs w:val="21"/>
                <w:lang w:val="en-US" w:eastAsia="zh-CN" w:bidi="ar"/>
              </w:rPr>
              <w:t>号</w:t>
            </w:r>
            <w:r>
              <w:rPr>
                <w:rFonts w:hint="eastAsia" w:ascii="宋体" w:hAnsi="宋体" w:eastAsia="宋体" w:cs="宋体"/>
                <w:i w:val="0"/>
                <w:iCs w:val="0"/>
                <w:color w:val="000000"/>
                <w:kern w:val="0"/>
                <w:sz w:val="21"/>
                <w:szCs w:val="21"/>
                <w:u w:val="none"/>
                <w:lang w:val="en-US" w:eastAsia="zh-CN" w:bidi="ar"/>
              </w:rPr>
              <w:t>1-3,2-3</w:t>
            </w:r>
            <w:r>
              <w:rPr>
                <w:rStyle w:val="13"/>
                <w:rFonts w:hint="eastAsia" w:ascii="宋体" w:hAnsi="宋体" w:eastAsia="宋体" w:cs="宋体"/>
                <w:sz w:val="21"/>
                <w:szCs w:val="21"/>
                <w:lang w:val="en-US" w:eastAsia="zh-CN" w:bidi="ar"/>
              </w:rPr>
              <w:t>室</w:t>
            </w:r>
          </w:p>
        </w:tc>
        <w:tc>
          <w:tcPr>
            <w:tcW w:w="855" w:type="dxa"/>
            <w:vMerge w:val="continue"/>
            <w:tcBorders>
              <w:left w:val="single" w:color="auto" w:sz="4" w:space="0"/>
              <w:right w:val="single" w:color="auto" w:sz="4" w:space="0"/>
            </w:tcBorders>
            <w:noWrap w:val="0"/>
            <w:vAlign w:val="center"/>
          </w:tcPr>
          <w:p w14:paraId="6863764D">
            <w:pPr>
              <w:widowControl/>
              <w:jc w:val="center"/>
              <w:rPr>
                <w:rFonts w:hint="eastAsia" w:ascii="宋体" w:hAnsi="宋体" w:eastAsia="宋体" w:cs="宋体"/>
                <w:color w:val="000000"/>
                <w:kern w:val="0"/>
                <w:sz w:val="21"/>
                <w:szCs w:val="21"/>
                <w:highlight w:val="none"/>
                <w:lang w:val="en-US" w:eastAsia="zh-CN"/>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62C5B97E">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139.19</w:t>
            </w:r>
          </w:p>
        </w:tc>
        <w:tc>
          <w:tcPr>
            <w:tcW w:w="1274" w:type="dxa"/>
            <w:vMerge w:val="continue"/>
            <w:tcBorders>
              <w:left w:val="single" w:color="auto" w:sz="4" w:space="0"/>
              <w:right w:val="single" w:color="auto" w:sz="4" w:space="0"/>
            </w:tcBorders>
            <w:noWrap w:val="0"/>
            <w:vAlign w:val="center"/>
          </w:tcPr>
          <w:p w14:paraId="17918B02">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tcBorders>
              <w:left w:val="single" w:color="auto" w:sz="4" w:space="0"/>
              <w:right w:val="single" w:color="auto" w:sz="4" w:space="0"/>
            </w:tcBorders>
            <w:noWrap w:val="0"/>
            <w:vAlign w:val="center"/>
          </w:tcPr>
          <w:p w14:paraId="34B903A1">
            <w:pPr>
              <w:widowControl/>
              <w:jc w:val="center"/>
              <w:rPr>
                <w:rFonts w:hint="eastAsia" w:ascii="宋体" w:hAnsi="宋体" w:eastAsia="宋体" w:cs="宋体"/>
                <w:color w:val="000000"/>
                <w:kern w:val="0"/>
                <w:sz w:val="21"/>
                <w:szCs w:val="21"/>
                <w:highlight w:val="none"/>
                <w:lang w:val="en-US"/>
              </w:rPr>
            </w:pPr>
          </w:p>
        </w:tc>
        <w:tc>
          <w:tcPr>
            <w:tcW w:w="1060" w:type="dxa"/>
            <w:vMerge w:val="continue"/>
            <w:tcBorders>
              <w:left w:val="single" w:color="auto" w:sz="4" w:space="0"/>
              <w:right w:val="single" w:color="auto" w:sz="4" w:space="0"/>
            </w:tcBorders>
            <w:noWrap w:val="0"/>
            <w:vAlign w:val="center"/>
          </w:tcPr>
          <w:p w14:paraId="36170F07">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tcBorders>
              <w:left w:val="single" w:color="auto" w:sz="4" w:space="0"/>
              <w:right w:val="single" w:color="auto" w:sz="4" w:space="0"/>
            </w:tcBorders>
            <w:noWrap w:val="0"/>
            <w:vAlign w:val="center"/>
          </w:tcPr>
          <w:p w14:paraId="2840419B">
            <w:pPr>
              <w:widowControl/>
              <w:jc w:val="center"/>
              <w:textAlignment w:val="center"/>
              <w:rPr>
                <w:rFonts w:hint="eastAsia" w:ascii="宋体" w:hAnsi="宋体" w:eastAsia="宋体" w:cs="宋体"/>
                <w:color w:val="000000"/>
                <w:kern w:val="0"/>
                <w:sz w:val="21"/>
                <w:szCs w:val="21"/>
                <w:highlight w:val="none"/>
              </w:rPr>
            </w:pPr>
          </w:p>
        </w:tc>
      </w:tr>
      <w:tr w14:paraId="7E4BD225">
        <w:tblPrEx>
          <w:tblCellMar>
            <w:top w:w="0" w:type="dxa"/>
            <w:left w:w="108" w:type="dxa"/>
            <w:bottom w:w="0" w:type="dxa"/>
            <w:right w:w="108" w:type="dxa"/>
          </w:tblCellMar>
        </w:tblPrEx>
        <w:trPr>
          <w:trHeight w:val="1208" w:hRule="atLeast"/>
        </w:trPr>
        <w:tc>
          <w:tcPr>
            <w:tcW w:w="656" w:type="dxa"/>
            <w:vMerge w:val="continue"/>
            <w:tcBorders>
              <w:left w:val="single" w:color="auto" w:sz="4" w:space="0"/>
              <w:right w:val="single" w:color="auto" w:sz="4" w:space="0"/>
            </w:tcBorders>
            <w:noWrap w:val="0"/>
            <w:vAlign w:val="center"/>
          </w:tcPr>
          <w:p w14:paraId="3D828575">
            <w:pPr>
              <w:widowControl/>
              <w:jc w:val="center"/>
              <w:rPr>
                <w:rFonts w:hint="eastAsia" w:ascii="宋体" w:hAnsi="宋体" w:eastAsia="宋体" w:cs="宋体"/>
                <w:color w:val="000000"/>
                <w:kern w:val="0"/>
                <w:sz w:val="21"/>
                <w:szCs w:val="21"/>
                <w:highlight w:val="none"/>
              </w:rPr>
            </w:pPr>
          </w:p>
        </w:tc>
        <w:tc>
          <w:tcPr>
            <w:tcW w:w="2571" w:type="dxa"/>
            <w:tcBorders>
              <w:top w:val="single" w:color="auto" w:sz="4" w:space="0"/>
              <w:left w:val="single" w:color="auto" w:sz="4" w:space="0"/>
              <w:bottom w:val="single" w:color="auto" w:sz="4" w:space="0"/>
              <w:right w:val="single" w:color="auto" w:sz="4" w:space="0"/>
            </w:tcBorders>
            <w:noWrap w:val="0"/>
            <w:vAlign w:val="center"/>
          </w:tcPr>
          <w:p w14:paraId="5693683A">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镇海区蛟川街道东港河B地块东信东路210</w:t>
            </w:r>
            <w:r>
              <w:rPr>
                <w:rStyle w:val="13"/>
                <w:rFonts w:hint="eastAsia" w:ascii="宋体" w:hAnsi="宋体" w:eastAsia="宋体" w:cs="宋体"/>
                <w:sz w:val="21"/>
                <w:szCs w:val="21"/>
                <w:lang w:val="en-US" w:eastAsia="zh-CN" w:bidi="ar"/>
              </w:rPr>
              <w:t>号</w:t>
            </w:r>
            <w:r>
              <w:rPr>
                <w:rFonts w:hint="eastAsia" w:ascii="宋体" w:hAnsi="宋体" w:eastAsia="宋体" w:cs="宋体"/>
                <w:i w:val="0"/>
                <w:iCs w:val="0"/>
                <w:color w:val="000000"/>
                <w:kern w:val="0"/>
                <w:sz w:val="21"/>
                <w:szCs w:val="21"/>
                <w:u w:val="none"/>
                <w:lang w:val="en-US" w:eastAsia="zh-CN" w:bidi="ar"/>
              </w:rPr>
              <w:t>1-1</w:t>
            </w:r>
            <w:r>
              <w:rPr>
                <w:rStyle w:val="15"/>
                <w:rFonts w:hint="eastAsia" w:ascii="宋体" w:hAnsi="宋体" w:eastAsia="宋体" w:cs="宋体"/>
                <w:sz w:val="21"/>
                <w:szCs w:val="21"/>
                <w:lang w:val="en-US" w:eastAsia="zh-CN" w:bidi="ar"/>
              </w:rPr>
              <w:t>室</w:t>
            </w:r>
          </w:p>
        </w:tc>
        <w:tc>
          <w:tcPr>
            <w:tcW w:w="855" w:type="dxa"/>
            <w:vMerge w:val="continue"/>
            <w:tcBorders>
              <w:left w:val="single" w:color="auto" w:sz="4" w:space="0"/>
              <w:right w:val="single" w:color="auto" w:sz="4" w:space="0"/>
            </w:tcBorders>
            <w:noWrap w:val="0"/>
            <w:vAlign w:val="center"/>
          </w:tcPr>
          <w:p w14:paraId="603D25DE">
            <w:pPr>
              <w:widowControl/>
              <w:jc w:val="center"/>
              <w:rPr>
                <w:rFonts w:hint="eastAsia" w:ascii="宋体" w:hAnsi="宋体" w:eastAsia="宋体" w:cs="宋体"/>
                <w:color w:val="000000"/>
                <w:kern w:val="0"/>
                <w:sz w:val="21"/>
                <w:szCs w:val="21"/>
                <w:highlight w:val="none"/>
                <w:lang w:val="en-US" w:eastAsia="zh-CN"/>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44657DAE">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94.05</w:t>
            </w:r>
          </w:p>
        </w:tc>
        <w:tc>
          <w:tcPr>
            <w:tcW w:w="1274" w:type="dxa"/>
            <w:vMerge w:val="continue"/>
            <w:tcBorders>
              <w:left w:val="single" w:color="auto" w:sz="4" w:space="0"/>
              <w:right w:val="single" w:color="auto" w:sz="4" w:space="0"/>
            </w:tcBorders>
            <w:noWrap w:val="0"/>
            <w:vAlign w:val="center"/>
          </w:tcPr>
          <w:p w14:paraId="710E14CF">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tcBorders>
              <w:left w:val="single" w:color="auto" w:sz="4" w:space="0"/>
              <w:right w:val="single" w:color="auto" w:sz="4" w:space="0"/>
            </w:tcBorders>
            <w:noWrap w:val="0"/>
            <w:vAlign w:val="center"/>
          </w:tcPr>
          <w:p w14:paraId="5577EB99">
            <w:pPr>
              <w:widowControl/>
              <w:jc w:val="center"/>
              <w:rPr>
                <w:rFonts w:hint="eastAsia" w:ascii="宋体" w:hAnsi="宋体" w:eastAsia="宋体" w:cs="宋体"/>
                <w:color w:val="000000"/>
                <w:kern w:val="0"/>
                <w:sz w:val="21"/>
                <w:szCs w:val="21"/>
                <w:highlight w:val="none"/>
                <w:lang w:val="en-US"/>
              </w:rPr>
            </w:pPr>
          </w:p>
        </w:tc>
        <w:tc>
          <w:tcPr>
            <w:tcW w:w="1060" w:type="dxa"/>
            <w:vMerge w:val="continue"/>
            <w:tcBorders>
              <w:left w:val="single" w:color="auto" w:sz="4" w:space="0"/>
              <w:right w:val="single" w:color="auto" w:sz="4" w:space="0"/>
            </w:tcBorders>
            <w:noWrap w:val="0"/>
            <w:vAlign w:val="center"/>
          </w:tcPr>
          <w:p w14:paraId="57A8F492">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tcBorders>
              <w:left w:val="single" w:color="auto" w:sz="4" w:space="0"/>
              <w:right w:val="single" w:color="auto" w:sz="4" w:space="0"/>
            </w:tcBorders>
            <w:noWrap w:val="0"/>
            <w:vAlign w:val="center"/>
          </w:tcPr>
          <w:p w14:paraId="02AB40A1">
            <w:pPr>
              <w:widowControl/>
              <w:jc w:val="center"/>
              <w:textAlignment w:val="center"/>
              <w:rPr>
                <w:rFonts w:hint="eastAsia" w:ascii="宋体" w:hAnsi="宋体" w:eastAsia="宋体" w:cs="宋体"/>
                <w:color w:val="000000"/>
                <w:kern w:val="0"/>
                <w:sz w:val="21"/>
                <w:szCs w:val="21"/>
                <w:highlight w:val="none"/>
              </w:rPr>
            </w:pPr>
          </w:p>
        </w:tc>
      </w:tr>
      <w:tr w14:paraId="33B29341">
        <w:tblPrEx>
          <w:tblCellMar>
            <w:top w:w="0" w:type="dxa"/>
            <w:left w:w="108" w:type="dxa"/>
            <w:bottom w:w="0" w:type="dxa"/>
            <w:right w:w="108" w:type="dxa"/>
          </w:tblCellMar>
        </w:tblPrEx>
        <w:trPr>
          <w:trHeight w:val="1208" w:hRule="atLeast"/>
        </w:trPr>
        <w:tc>
          <w:tcPr>
            <w:tcW w:w="656" w:type="dxa"/>
            <w:vMerge w:val="continue"/>
            <w:tcBorders>
              <w:left w:val="single" w:color="auto" w:sz="4" w:space="0"/>
              <w:right w:val="single" w:color="auto" w:sz="4" w:space="0"/>
            </w:tcBorders>
            <w:noWrap w:val="0"/>
            <w:vAlign w:val="center"/>
          </w:tcPr>
          <w:p w14:paraId="4603A415">
            <w:pPr>
              <w:widowControl/>
              <w:jc w:val="center"/>
              <w:rPr>
                <w:rFonts w:hint="eastAsia" w:ascii="宋体" w:hAnsi="宋体" w:eastAsia="宋体" w:cs="宋体"/>
                <w:color w:val="000000"/>
                <w:kern w:val="0"/>
                <w:sz w:val="21"/>
                <w:szCs w:val="21"/>
                <w:highlight w:val="none"/>
              </w:rPr>
            </w:pPr>
          </w:p>
        </w:tc>
        <w:tc>
          <w:tcPr>
            <w:tcW w:w="2571" w:type="dxa"/>
            <w:tcBorders>
              <w:top w:val="single" w:color="auto" w:sz="4" w:space="0"/>
              <w:left w:val="single" w:color="auto" w:sz="4" w:space="0"/>
              <w:bottom w:val="single" w:color="auto" w:sz="4" w:space="0"/>
              <w:right w:val="single" w:color="auto" w:sz="4" w:space="0"/>
            </w:tcBorders>
            <w:noWrap w:val="0"/>
            <w:vAlign w:val="center"/>
          </w:tcPr>
          <w:p w14:paraId="584E324C">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镇海区蛟川街道东港河B地块东信东路212</w:t>
            </w:r>
            <w:r>
              <w:rPr>
                <w:rStyle w:val="13"/>
                <w:rFonts w:hint="eastAsia" w:ascii="宋体" w:hAnsi="宋体" w:eastAsia="宋体" w:cs="宋体"/>
                <w:sz w:val="21"/>
                <w:szCs w:val="21"/>
                <w:lang w:val="en-US" w:eastAsia="zh-CN" w:bidi="ar"/>
              </w:rPr>
              <w:t>号</w:t>
            </w:r>
            <w:r>
              <w:rPr>
                <w:rFonts w:hint="eastAsia" w:ascii="宋体" w:hAnsi="宋体" w:eastAsia="宋体" w:cs="宋体"/>
                <w:i w:val="0"/>
                <w:iCs w:val="0"/>
                <w:color w:val="000000"/>
                <w:kern w:val="0"/>
                <w:sz w:val="21"/>
                <w:szCs w:val="21"/>
                <w:u w:val="none"/>
                <w:lang w:val="en-US" w:eastAsia="zh-CN" w:bidi="ar"/>
              </w:rPr>
              <w:t>1-1,2-1</w:t>
            </w:r>
            <w:r>
              <w:rPr>
                <w:rStyle w:val="15"/>
                <w:rFonts w:hint="eastAsia" w:ascii="宋体" w:hAnsi="宋体" w:eastAsia="宋体" w:cs="宋体"/>
                <w:sz w:val="21"/>
                <w:szCs w:val="21"/>
                <w:lang w:val="en-US" w:eastAsia="zh-CN" w:bidi="ar"/>
              </w:rPr>
              <w:t>室</w:t>
            </w:r>
          </w:p>
        </w:tc>
        <w:tc>
          <w:tcPr>
            <w:tcW w:w="855" w:type="dxa"/>
            <w:vMerge w:val="continue"/>
            <w:tcBorders>
              <w:left w:val="single" w:color="auto" w:sz="4" w:space="0"/>
              <w:right w:val="single" w:color="auto" w:sz="4" w:space="0"/>
            </w:tcBorders>
            <w:noWrap w:val="0"/>
            <w:vAlign w:val="center"/>
          </w:tcPr>
          <w:p w14:paraId="5708311C">
            <w:pPr>
              <w:widowControl/>
              <w:jc w:val="center"/>
              <w:rPr>
                <w:rFonts w:hint="eastAsia" w:ascii="宋体" w:hAnsi="宋体" w:eastAsia="宋体" w:cs="宋体"/>
                <w:color w:val="000000"/>
                <w:kern w:val="0"/>
                <w:sz w:val="21"/>
                <w:szCs w:val="21"/>
                <w:highlight w:val="none"/>
                <w:lang w:val="en-US" w:eastAsia="zh-CN"/>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7FA31BDD">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165.89</w:t>
            </w:r>
          </w:p>
        </w:tc>
        <w:tc>
          <w:tcPr>
            <w:tcW w:w="1274" w:type="dxa"/>
            <w:vMerge w:val="continue"/>
            <w:tcBorders>
              <w:left w:val="single" w:color="auto" w:sz="4" w:space="0"/>
              <w:right w:val="single" w:color="auto" w:sz="4" w:space="0"/>
            </w:tcBorders>
            <w:noWrap w:val="0"/>
            <w:vAlign w:val="center"/>
          </w:tcPr>
          <w:p w14:paraId="45E306C3">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tcBorders>
              <w:left w:val="single" w:color="auto" w:sz="4" w:space="0"/>
              <w:right w:val="single" w:color="auto" w:sz="4" w:space="0"/>
            </w:tcBorders>
            <w:noWrap w:val="0"/>
            <w:vAlign w:val="center"/>
          </w:tcPr>
          <w:p w14:paraId="6B79AE4E">
            <w:pPr>
              <w:widowControl/>
              <w:jc w:val="center"/>
              <w:rPr>
                <w:rFonts w:hint="eastAsia" w:ascii="宋体" w:hAnsi="宋体" w:eastAsia="宋体" w:cs="宋体"/>
                <w:color w:val="000000"/>
                <w:kern w:val="0"/>
                <w:sz w:val="21"/>
                <w:szCs w:val="21"/>
                <w:highlight w:val="none"/>
                <w:lang w:val="en-US"/>
              </w:rPr>
            </w:pPr>
          </w:p>
        </w:tc>
        <w:tc>
          <w:tcPr>
            <w:tcW w:w="1060" w:type="dxa"/>
            <w:vMerge w:val="continue"/>
            <w:tcBorders>
              <w:left w:val="single" w:color="auto" w:sz="4" w:space="0"/>
              <w:right w:val="single" w:color="auto" w:sz="4" w:space="0"/>
            </w:tcBorders>
            <w:noWrap w:val="0"/>
            <w:vAlign w:val="center"/>
          </w:tcPr>
          <w:p w14:paraId="34C5B192">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tcBorders>
              <w:left w:val="single" w:color="auto" w:sz="4" w:space="0"/>
              <w:right w:val="single" w:color="auto" w:sz="4" w:space="0"/>
            </w:tcBorders>
            <w:noWrap w:val="0"/>
            <w:vAlign w:val="center"/>
          </w:tcPr>
          <w:p w14:paraId="37044B75">
            <w:pPr>
              <w:widowControl/>
              <w:jc w:val="center"/>
              <w:textAlignment w:val="center"/>
              <w:rPr>
                <w:rFonts w:hint="eastAsia" w:ascii="宋体" w:hAnsi="宋体" w:eastAsia="宋体" w:cs="宋体"/>
                <w:color w:val="000000"/>
                <w:kern w:val="0"/>
                <w:sz w:val="21"/>
                <w:szCs w:val="21"/>
                <w:highlight w:val="none"/>
              </w:rPr>
            </w:pPr>
          </w:p>
        </w:tc>
      </w:tr>
      <w:tr w14:paraId="0E673D1E">
        <w:tblPrEx>
          <w:tblCellMar>
            <w:top w:w="0" w:type="dxa"/>
            <w:left w:w="108" w:type="dxa"/>
            <w:bottom w:w="0" w:type="dxa"/>
            <w:right w:w="108" w:type="dxa"/>
          </w:tblCellMar>
        </w:tblPrEx>
        <w:trPr>
          <w:trHeight w:val="1208" w:hRule="atLeast"/>
        </w:trPr>
        <w:tc>
          <w:tcPr>
            <w:tcW w:w="656" w:type="dxa"/>
            <w:vMerge w:val="continue"/>
            <w:tcBorders>
              <w:left w:val="single" w:color="auto" w:sz="4" w:space="0"/>
              <w:right w:val="single" w:color="auto" w:sz="4" w:space="0"/>
            </w:tcBorders>
            <w:noWrap w:val="0"/>
            <w:vAlign w:val="center"/>
          </w:tcPr>
          <w:p w14:paraId="17EB098A">
            <w:pPr>
              <w:widowControl/>
              <w:jc w:val="center"/>
              <w:rPr>
                <w:rFonts w:hint="eastAsia" w:ascii="宋体" w:hAnsi="宋体" w:eastAsia="宋体" w:cs="宋体"/>
                <w:color w:val="000000"/>
                <w:kern w:val="0"/>
                <w:sz w:val="21"/>
                <w:szCs w:val="21"/>
                <w:highlight w:val="none"/>
              </w:rPr>
            </w:pPr>
          </w:p>
        </w:tc>
        <w:tc>
          <w:tcPr>
            <w:tcW w:w="2571" w:type="dxa"/>
            <w:tcBorders>
              <w:top w:val="single" w:color="auto" w:sz="4" w:space="0"/>
              <w:left w:val="single" w:color="auto" w:sz="4" w:space="0"/>
              <w:bottom w:val="single" w:color="auto" w:sz="4" w:space="0"/>
              <w:right w:val="single" w:color="auto" w:sz="4" w:space="0"/>
            </w:tcBorders>
            <w:noWrap w:val="0"/>
            <w:vAlign w:val="center"/>
          </w:tcPr>
          <w:p w14:paraId="2216B625">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镇海区蛟川街道东港河B地块东信东路214</w:t>
            </w:r>
            <w:r>
              <w:rPr>
                <w:rStyle w:val="13"/>
                <w:rFonts w:hint="eastAsia" w:ascii="宋体" w:hAnsi="宋体" w:eastAsia="宋体" w:cs="宋体"/>
                <w:sz w:val="21"/>
                <w:szCs w:val="21"/>
                <w:lang w:val="en-US" w:eastAsia="zh-CN" w:bidi="ar"/>
              </w:rPr>
              <w:t>号</w:t>
            </w:r>
            <w:r>
              <w:rPr>
                <w:rFonts w:hint="eastAsia" w:ascii="宋体" w:hAnsi="宋体" w:eastAsia="宋体" w:cs="宋体"/>
                <w:i w:val="0"/>
                <w:iCs w:val="0"/>
                <w:color w:val="000000"/>
                <w:kern w:val="0"/>
                <w:sz w:val="21"/>
                <w:szCs w:val="21"/>
                <w:u w:val="none"/>
                <w:lang w:val="en-US" w:eastAsia="zh-CN" w:bidi="ar"/>
              </w:rPr>
              <w:t>1-3,2-2</w:t>
            </w:r>
            <w:r>
              <w:rPr>
                <w:rStyle w:val="15"/>
                <w:rFonts w:hint="eastAsia" w:ascii="宋体" w:hAnsi="宋体" w:eastAsia="宋体" w:cs="宋体"/>
                <w:sz w:val="21"/>
                <w:szCs w:val="21"/>
                <w:lang w:val="en-US" w:eastAsia="zh-CN" w:bidi="ar"/>
              </w:rPr>
              <w:t>室</w:t>
            </w:r>
          </w:p>
        </w:tc>
        <w:tc>
          <w:tcPr>
            <w:tcW w:w="855" w:type="dxa"/>
            <w:vMerge w:val="continue"/>
            <w:tcBorders>
              <w:left w:val="single" w:color="auto" w:sz="4" w:space="0"/>
              <w:right w:val="single" w:color="auto" w:sz="4" w:space="0"/>
            </w:tcBorders>
            <w:noWrap w:val="0"/>
            <w:vAlign w:val="center"/>
          </w:tcPr>
          <w:p w14:paraId="650E50C8">
            <w:pPr>
              <w:widowControl/>
              <w:jc w:val="center"/>
              <w:rPr>
                <w:rFonts w:hint="eastAsia" w:ascii="宋体" w:hAnsi="宋体" w:eastAsia="宋体" w:cs="宋体"/>
                <w:color w:val="000000"/>
                <w:kern w:val="0"/>
                <w:sz w:val="21"/>
                <w:szCs w:val="21"/>
                <w:highlight w:val="none"/>
                <w:lang w:val="en-US" w:eastAsia="zh-CN"/>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567F28E9">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72.38</w:t>
            </w:r>
          </w:p>
        </w:tc>
        <w:tc>
          <w:tcPr>
            <w:tcW w:w="1274" w:type="dxa"/>
            <w:vMerge w:val="continue"/>
            <w:tcBorders>
              <w:left w:val="single" w:color="auto" w:sz="4" w:space="0"/>
              <w:right w:val="single" w:color="auto" w:sz="4" w:space="0"/>
            </w:tcBorders>
            <w:noWrap w:val="0"/>
            <w:vAlign w:val="center"/>
          </w:tcPr>
          <w:p w14:paraId="2447CA10">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tcBorders>
              <w:left w:val="single" w:color="auto" w:sz="4" w:space="0"/>
              <w:right w:val="single" w:color="auto" w:sz="4" w:space="0"/>
            </w:tcBorders>
            <w:noWrap w:val="0"/>
            <w:vAlign w:val="center"/>
          </w:tcPr>
          <w:p w14:paraId="4247F210">
            <w:pPr>
              <w:widowControl/>
              <w:jc w:val="center"/>
              <w:rPr>
                <w:rFonts w:hint="eastAsia" w:ascii="宋体" w:hAnsi="宋体" w:eastAsia="宋体" w:cs="宋体"/>
                <w:color w:val="000000"/>
                <w:kern w:val="0"/>
                <w:sz w:val="21"/>
                <w:szCs w:val="21"/>
                <w:highlight w:val="none"/>
                <w:lang w:val="en-US"/>
              </w:rPr>
            </w:pPr>
          </w:p>
        </w:tc>
        <w:tc>
          <w:tcPr>
            <w:tcW w:w="1060" w:type="dxa"/>
            <w:vMerge w:val="continue"/>
            <w:tcBorders>
              <w:left w:val="single" w:color="auto" w:sz="4" w:space="0"/>
              <w:right w:val="single" w:color="auto" w:sz="4" w:space="0"/>
            </w:tcBorders>
            <w:noWrap w:val="0"/>
            <w:vAlign w:val="center"/>
          </w:tcPr>
          <w:p w14:paraId="7C56CD7D">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tcBorders>
              <w:left w:val="single" w:color="auto" w:sz="4" w:space="0"/>
              <w:right w:val="single" w:color="auto" w:sz="4" w:space="0"/>
            </w:tcBorders>
            <w:noWrap w:val="0"/>
            <w:vAlign w:val="center"/>
          </w:tcPr>
          <w:p w14:paraId="28FC8DA2">
            <w:pPr>
              <w:widowControl/>
              <w:jc w:val="center"/>
              <w:textAlignment w:val="center"/>
              <w:rPr>
                <w:rFonts w:hint="eastAsia" w:ascii="宋体" w:hAnsi="宋体" w:eastAsia="宋体" w:cs="宋体"/>
                <w:color w:val="000000"/>
                <w:kern w:val="0"/>
                <w:sz w:val="21"/>
                <w:szCs w:val="21"/>
                <w:highlight w:val="none"/>
              </w:rPr>
            </w:pPr>
          </w:p>
        </w:tc>
      </w:tr>
      <w:tr w14:paraId="2047517B">
        <w:tblPrEx>
          <w:tblCellMar>
            <w:top w:w="0" w:type="dxa"/>
            <w:left w:w="108" w:type="dxa"/>
            <w:bottom w:w="0" w:type="dxa"/>
            <w:right w:w="108" w:type="dxa"/>
          </w:tblCellMar>
        </w:tblPrEx>
        <w:trPr>
          <w:trHeight w:val="1208" w:hRule="atLeast"/>
        </w:trPr>
        <w:tc>
          <w:tcPr>
            <w:tcW w:w="656" w:type="dxa"/>
            <w:vMerge w:val="continue"/>
            <w:tcBorders>
              <w:left w:val="single" w:color="auto" w:sz="4" w:space="0"/>
              <w:right w:val="single" w:color="auto" w:sz="4" w:space="0"/>
            </w:tcBorders>
            <w:noWrap w:val="0"/>
            <w:vAlign w:val="center"/>
          </w:tcPr>
          <w:p w14:paraId="3629ECBA">
            <w:pPr>
              <w:widowControl/>
              <w:jc w:val="center"/>
              <w:rPr>
                <w:rFonts w:hint="eastAsia" w:ascii="宋体" w:hAnsi="宋体" w:eastAsia="宋体" w:cs="宋体"/>
                <w:color w:val="000000"/>
                <w:kern w:val="0"/>
                <w:sz w:val="21"/>
                <w:szCs w:val="21"/>
                <w:highlight w:val="none"/>
              </w:rPr>
            </w:pPr>
          </w:p>
        </w:tc>
        <w:tc>
          <w:tcPr>
            <w:tcW w:w="2571" w:type="dxa"/>
            <w:tcBorders>
              <w:top w:val="single" w:color="auto" w:sz="4" w:space="0"/>
              <w:left w:val="single" w:color="auto" w:sz="4" w:space="0"/>
              <w:bottom w:val="single" w:color="auto" w:sz="4" w:space="0"/>
              <w:right w:val="single" w:color="auto" w:sz="4" w:space="0"/>
            </w:tcBorders>
            <w:noWrap w:val="0"/>
            <w:vAlign w:val="center"/>
          </w:tcPr>
          <w:p w14:paraId="0D2F15BC">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镇海区蛟川街道东港河B地块东信东路220</w:t>
            </w:r>
            <w:r>
              <w:rPr>
                <w:rStyle w:val="13"/>
                <w:rFonts w:hint="eastAsia" w:ascii="宋体" w:hAnsi="宋体" w:eastAsia="宋体" w:cs="宋体"/>
                <w:sz w:val="21"/>
                <w:szCs w:val="21"/>
                <w:lang w:val="en-US" w:eastAsia="zh-CN" w:bidi="ar"/>
              </w:rPr>
              <w:t>号</w:t>
            </w:r>
            <w:r>
              <w:rPr>
                <w:rFonts w:hint="eastAsia" w:ascii="宋体" w:hAnsi="宋体" w:eastAsia="宋体" w:cs="宋体"/>
                <w:i w:val="0"/>
                <w:iCs w:val="0"/>
                <w:color w:val="000000"/>
                <w:kern w:val="0"/>
                <w:sz w:val="21"/>
                <w:szCs w:val="21"/>
                <w:u w:val="none"/>
                <w:lang w:val="en-US" w:eastAsia="zh-CN" w:bidi="ar"/>
              </w:rPr>
              <w:t>1-5,2-4</w:t>
            </w:r>
            <w:r>
              <w:rPr>
                <w:rStyle w:val="15"/>
                <w:rFonts w:hint="eastAsia" w:ascii="宋体" w:hAnsi="宋体" w:eastAsia="宋体" w:cs="宋体"/>
                <w:sz w:val="21"/>
                <w:szCs w:val="21"/>
                <w:lang w:val="en-US" w:eastAsia="zh-CN" w:bidi="ar"/>
              </w:rPr>
              <w:t>室</w:t>
            </w:r>
          </w:p>
        </w:tc>
        <w:tc>
          <w:tcPr>
            <w:tcW w:w="855" w:type="dxa"/>
            <w:vMerge w:val="continue"/>
            <w:tcBorders>
              <w:left w:val="single" w:color="auto" w:sz="4" w:space="0"/>
              <w:right w:val="single" w:color="auto" w:sz="4" w:space="0"/>
            </w:tcBorders>
            <w:noWrap w:val="0"/>
            <w:vAlign w:val="center"/>
          </w:tcPr>
          <w:p w14:paraId="7DBD0B2E">
            <w:pPr>
              <w:widowControl/>
              <w:jc w:val="center"/>
              <w:rPr>
                <w:rFonts w:hint="eastAsia" w:ascii="宋体" w:hAnsi="宋体" w:eastAsia="宋体" w:cs="宋体"/>
                <w:color w:val="000000"/>
                <w:kern w:val="0"/>
                <w:sz w:val="21"/>
                <w:szCs w:val="21"/>
                <w:highlight w:val="none"/>
                <w:lang w:val="en-US" w:eastAsia="zh-CN"/>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07B420BB">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201.22</w:t>
            </w:r>
          </w:p>
        </w:tc>
        <w:tc>
          <w:tcPr>
            <w:tcW w:w="1274" w:type="dxa"/>
            <w:vMerge w:val="continue"/>
            <w:tcBorders>
              <w:left w:val="single" w:color="auto" w:sz="4" w:space="0"/>
              <w:right w:val="single" w:color="auto" w:sz="4" w:space="0"/>
            </w:tcBorders>
            <w:noWrap w:val="0"/>
            <w:vAlign w:val="center"/>
          </w:tcPr>
          <w:p w14:paraId="656A9D68">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tcBorders>
              <w:left w:val="single" w:color="auto" w:sz="4" w:space="0"/>
              <w:right w:val="single" w:color="auto" w:sz="4" w:space="0"/>
            </w:tcBorders>
            <w:noWrap w:val="0"/>
            <w:vAlign w:val="center"/>
          </w:tcPr>
          <w:p w14:paraId="231C37E4">
            <w:pPr>
              <w:widowControl/>
              <w:jc w:val="center"/>
              <w:rPr>
                <w:rFonts w:hint="eastAsia" w:ascii="宋体" w:hAnsi="宋体" w:eastAsia="宋体" w:cs="宋体"/>
                <w:color w:val="000000"/>
                <w:kern w:val="0"/>
                <w:sz w:val="21"/>
                <w:szCs w:val="21"/>
                <w:highlight w:val="none"/>
                <w:lang w:val="en-US"/>
              </w:rPr>
            </w:pPr>
          </w:p>
        </w:tc>
        <w:tc>
          <w:tcPr>
            <w:tcW w:w="1060" w:type="dxa"/>
            <w:vMerge w:val="continue"/>
            <w:tcBorders>
              <w:left w:val="single" w:color="auto" w:sz="4" w:space="0"/>
              <w:right w:val="single" w:color="auto" w:sz="4" w:space="0"/>
            </w:tcBorders>
            <w:noWrap w:val="0"/>
            <w:vAlign w:val="center"/>
          </w:tcPr>
          <w:p w14:paraId="79E38147">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tcBorders>
              <w:left w:val="single" w:color="auto" w:sz="4" w:space="0"/>
              <w:right w:val="single" w:color="auto" w:sz="4" w:space="0"/>
            </w:tcBorders>
            <w:noWrap w:val="0"/>
            <w:vAlign w:val="center"/>
          </w:tcPr>
          <w:p w14:paraId="15F1BA03">
            <w:pPr>
              <w:widowControl/>
              <w:jc w:val="center"/>
              <w:textAlignment w:val="center"/>
              <w:rPr>
                <w:rFonts w:hint="eastAsia" w:ascii="宋体" w:hAnsi="宋体" w:eastAsia="宋体" w:cs="宋体"/>
                <w:color w:val="000000"/>
                <w:kern w:val="0"/>
                <w:sz w:val="21"/>
                <w:szCs w:val="21"/>
                <w:highlight w:val="none"/>
              </w:rPr>
            </w:pPr>
          </w:p>
        </w:tc>
      </w:tr>
      <w:tr w14:paraId="590F1D80">
        <w:tblPrEx>
          <w:tblCellMar>
            <w:top w:w="0" w:type="dxa"/>
            <w:left w:w="108" w:type="dxa"/>
            <w:bottom w:w="0" w:type="dxa"/>
            <w:right w:w="108" w:type="dxa"/>
          </w:tblCellMar>
        </w:tblPrEx>
        <w:trPr>
          <w:trHeight w:val="1208" w:hRule="atLeast"/>
        </w:trPr>
        <w:tc>
          <w:tcPr>
            <w:tcW w:w="656" w:type="dxa"/>
            <w:vMerge w:val="continue"/>
            <w:tcBorders>
              <w:left w:val="single" w:color="auto" w:sz="4" w:space="0"/>
              <w:right w:val="single" w:color="auto" w:sz="4" w:space="0"/>
            </w:tcBorders>
            <w:noWrap w:val="0"/>
            <w:vAlign w:val="center"/>
          </w:tcPr>
          <w:p w14:paraId="64153B7F">
            <w:pPr>
              <w:widowControl/>
              <w:jc w:val="center"/>
              <w:rPr>
                <w:rFonts w:hint="eastAsia" w:ascii="宋体" w:hAnsi="宋体" w:eastAsia="宋体" w:cs="宋体"/>
                <w:color w:val="000000"/>
                <w:kern w:val="0"/>
                <w:sz w:val="21"/>
                <w:szCs w:val="21"/>
                <w:highlight w:val="none"/>
              </w:rPr>
            </w:pPr>
          </w:p>
        </w:tc>
        <w:tc>
          <w:tcPr>
            <w:tcW w:w="2571" w:type="dxa"/>
            <w:tcBorders>
              <w:top w:val="single" w:color="auto" w:sz="4" w:space="0"/>
              <w:left w:val="single" w:color="auto" w:sz="4" w:space="0"/>
              <w:bottom w:val="single" w:color="auto" w:sz="4" w:space="0"/>
              <w:right w:val="single" w:color="auto" w:sz="4" w:space="0"/>
            </w:tcBorders>
            <w:noWrap w:val="0"/>
            <w:vAlign w:val="center"/>
          </w:tcPr>
          <w:p w14:paraId="5AE9CE90">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镇海区蛟川街道东港河B地块东信东路222</w:t>
            </w:r>
            <w:r>
              <w:rPr>
                <w:rStyle w:val="13"/>
                <w:rFonts w:hint="eastAsia" w:ascii="宋体" w:hAnsi="宋体" w:eastAsia="宋体" w:cs="宋体"/>
                <w:sz w:val="21"/>
                <w:szCs w:val="21"/>
                <w:lang w:val="en-US" w:eastAsia="zh-CN" w:bidi="ar"/>
              </w:rPr>
              <w:t>号</w:t>
            </w:r>
            <w:r>
              <w:rPr>
                <w:rFonts w:hint="eastAsia" w:ascii="宋体" w:hAnsi="宋体" w:eastAsia="宋体" w:cs="宋体"/>
                <w:i w:val="0"/>
                <w:iCs w:val="0"/>
                <w:color w:val="000000"/>
                <w:kern w:val="0"/>
                <w:sz w:val="21"/>
                <w:szCs w:val="21"/>
                <w:u w:val="none"/>
                <w:lang w:val="en-US" w:eastAsia="zh-CN" w:bidi="ar"/>
              </w:rPr>
              <w:t>1-6,2-5</w:t>
            </w:r>
            <w:r>
              <w:rPr>
                <w:rStyle w:val="15"/>
                <w:rFonts w:hint="eastAsia" w:ascii="宋体" w:hAnsi="宋体" w:eastAsia="宋体" w:cs="宋体"/>
                <w:sz w:val="21"/>
                <w:szCs w:val="21"/>
                <w:lang w:val="en-US" w:eastAsia="zh-CN" w:bidi="ar"/>
              </w:rPr>
              <w:t>室</w:t>
            </w:r>
          </w:p>
        </w:tc>
        <w:tc>
          <w:tcPr>
            <w:tcW w:w="855" w:type="dxa"/>
            <w:vMerge w:val="continue"/>
            <w:tcBorders>
              <w:left w:val="single" w:color="auto" w:sz="4" w:space="0"/>
              <w:right w:val="single" w:color="auto" w:sz="4" w:space="0"/>
            </w:tcBorders>
            <w:noWrap w:val="0"/>
            <w:vAlign w:val="center"/>
          </w:tcPr>
          <w:p w14:paraId="06AEFBAD">
            <w:pPr>
              <w:widowControl/>
              <w:jc w:val="center"/>
              <w:rPr>
                <w:rFonts w:hint="eastAsia" w:ascii="宋体" w:hAnsi="宋体" w:eastAsia="宋体" w:cs="宋体"/>
                <w:color w:val="000000"/>
                <w:kern w:val="0"/>
                <w:sz w:val="21"/>
                <w:szCs w:val="21"/>
                <w:highlight w:val="none"/>
                <w:lang w:val="en-US" w:eastAsia="zh-CN"/>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26A8289F">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72.38</w:t>
            </w:r>
          </w:p>
        </w:tc>
        <w:tc>
          <w:tcPr>
            <w:tcW w:w="1274" w:type="dxa"/>
            <w:vMerge w:val="continue"/>
            <w:tcBorders>
              <w:left w:val="single" w:color="auto" w:sz="4" w:space="0"/>
              <w:right w:val="single" w:color="auto" w:sz="4" w:space="0"/>
            </w:tcBorders>
            <w:noWrap w:val="0"/>
            <w:vAlign w:val="center"/>
          </w:tcPr>
          <w:p w14:paraId="194DAB77">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tcBorders>
              <w:left w:val="single" w:color="auto" w:sz="4" w:space="0"/>
              <w:right w:val="single" w:color="auto" w:sz="4" w:space="0"/>
            </w:tcBorders>
            <w:noWrap w:val="0"/>
            <w:vAlign w:val="center"/>
          </w:tcPr>
          <w:p w14:paraId="3EB0E7AE">
            <w:pPr>
              <w:widowControl/>
              <w:jc w:val="center"/>
              <w:rPr>
                <w:rFonts w:hint="eastAsia" w:ascii="宋体" w:hAnsi="宋体" w:eastAsia="宋体" w:cs="宋体"/>
                <w:color w:val="000000"/>
                <w:kern w:val="0"/>
                <w:sz w:val="21"/>
                <w:szCs w:val="21"/>
                <w:highlight w:val="none"/>
                <w:lang w:val="en-US"/>
              </w:rPr>
            </w:pPr>
          </w:p>
        </w:tc>
        <w:tc>
          <w:tcPr>
            <w:tcW w:w="1060" w:type="dxa"/>
            <w:vMerge w:val="continue"/>
            <w:tcBorders>
              <w:left w:val="single" w:color="auto" w:sz="4" w:space="0"/>
              <w:right w:val="single" w:color="auto" w:sz="4" w:space="0"/>
            </w:tcBorders>
            <w:noWrap w:val="0"/>
            <w:vAlign w:val="center"/>
          </w:tcPr>
          <w:p w14:paraId="3E73F37E">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tcBorders>
              <w:left w:val="single" w:color="auto" w:sz="4" w:space="0"/>
              <w:right w:val="single" w:color="auto" w:sz="4" w:space="0"/>
            </w:tcBorders>
            <w:noWrap w:val="0"/>
            <w:vAlign w:val="center"/>
          </w:tcPr>
          <w:p w14:paraId="7217CC21">
            <w:pPr>
              <w:widowControl/>
              <w:jc w:val="center"/>
              <w:textAlignment w:val="center"/>
              <w:rPr>
                <w:rFonts w:hint="eastAsia" w:ascii="宋体" w:hAnsi="宋体" w:eastAsia="宋体" w:cs="宋体"/>
                <w:color w:val="000000"/>
                <w:kern w:val="0"/>
                <w:sz w:val="21"/>
                <w:szCs w:val="21"/>
                <w:highlight w:val="none"/>
              </w:rPr>
            </w:pPr>
          </w:p>
        </w:tc>
      </w:tr>
      <w:tr w14:paraId="0B64471C">
        <w:tblPrEx>
          <w:tblCellMar>
            <w:top w:w="0" w:type="dxa"/>
            <w:left w:w="108" w:type="dxa"/>
            <w:bottom w:w="0" w:type="dxa"/>
            <w:right w:w="108" w:type="dxa"/>
          </w:tblCellMar>
        </w:tblPrEx>
        <w:trPr>
          <w:trHeight w:val="1208" w:hRule="atLeast"/>
        </w:trPr>
        <w:tc>
          <w:tcPr>
            <w:tcW w:w="656" w:type="dxa"/>
            <w:vMerge w:val="continue"/>
            <w:tcBorders>
              <w:left w:val="single" w:color="auto" w:sz="4" w:space="0"/>
              <w:right w:val="single" w:color="auto" w:sz="4" w:space="0"/>
            </w:tcBorders>
            <w:noWrap w:val="0"/>
            <w:vAlign w:val="center"/>
          </w:tcPr>
          <w:p w14:paraId="51B34ACB">
            <w:pPr>
              <w:widowControl/>
              <w:jc w:val="center"/>
              <w:rPr>
                <w:rFonts w:hint="eastAsia" w:ascii="宋体" w:hAnsi="宋体" w:eastAsia="宋体" w:cs="宋体"/>
                <w:color w:val="000000"/>
                <w:kern w:val="0"/>
                <w:sz w:val="21"/>
                <w:szCs w:val="21"/>
                <w:highlight w:val="none"/>
              </w:rPr>
            </w:pPr>
          </w:p>
        </w:tc>
        <w:tc>
          <w:tcPr>
            <w:tcW w:w="2571" w:type="dxa"/>
            <w:tcBorders>
              <w:top w:val="single" w:color="auto" w:sz="4" w:space="0"/>
              <w:left w:val="single" w:color="auto" w:sz="4" w:space="0"/>
              <w:bottom w:val="single" w:color="auto" w:sz="4" w:space="0"/>
              <w:right w:val="single" w:color="auto" w:sz="4" w:space="0"/>
            </w:tcBorders>
            <w:noWrap w:val="0"/>
            <w:vAlign w:val="center"/>
          </w:tcPr>
          <w:p w14:paraId="0AE33CC4">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镇海区蛟川街道东港河B地块东信东路228</w:t>
            </w:r>
            <w:r>
              <w:rPr>
                <w:rStyle w:val="13"/>
                <w:rFonts w:hint="eastAsia" w:ascii="宋体" w:hAnsi="宋体" w:eastAsia="宋体" w:cs="宋体"/>
                <w:sz w:val="21"/>
                <w:szCs w:val="21"/>
                <w:lang w:val="en-US" w:eastAsia="zh-CN" w:bidi="ar"/>
              </w:rPr>
              <w:t>号</w:t>
            </w:r>
            <w:r>
              <w:rPr>
                <w:rFonts w:hint="eastAsia" w:ascii="宋体" w:hAnsi="宋体" w:eastAsia="宋体" w:cs="宋体"/>
                <w:i w:val="0"/>
                <w:iCs w:val="0"/>
                <w:color w:val="000000"/>
                <w:kern w:val="0"/>
                <w:sz w:val="21"/>
                <w:szCs w:val="21"/>
                <w:u w:val="none"/>
                <w:lang w:val="en-US" w:eastAsia="zh-CN" w:bidi="ar"/>
              </w:rPr>
              <w:t>1-8,2-7</w:t>
            </w:r>
            <w:r>
              <w:rPr>
                <w:rStyle w:val="15"/>
                <w:rFonts w:hint="eastAsia" w:ascii="宋体" w:hAnsi="宋体" w:eastAsia="宋体" w:cs="宋体"/>
                <w:sz w:val="21"/>
                <w:szCs w:val="21"/>
                <w:lang w:val="en-US" w:eastAsia="zh-CN" w:bidi="ar"/>
              </w:rPr>
              <w:t>室</w:t>
            </w:r>
          </w:p>
        </w:tc>
        <w:tc>
          <w:tcPr>
            <w:tcW w:w="855" w:type="dxa"/>
            <w:vMerge w:val="continue"/>
            <w:tcBorders>
              <w:left w:val="single" w:color="auto" w:sz="4" w:space="0"/>
              <w:right w:val="single" w:color="auto" w:sz="4" w:space="0"/>
            </w:tcBorders>
            <w:noWrap w:val="0"/>
            <w:vAlign w:val="center"/>
          </w:tcPr>
          <w:p w14:paraId="566C9B7D">
            <w:pPr>
              <w:widowControl/>
              <w:jc w:val="center"/>
              <w:rPr>
                <w:rFonts w:hint="eastAsia" w:ascii="宋体" w:hAnsi="宋体" w:eastAsia="宋体" w:cs="宋体"/>
                <w:color w:val="000000"/>
                <w:kern w:val="0"/>
                <w:sz w:val="21"/>
                <w:szCs w:val="21"/>
                <w:highlight w:val="none"/>
                <w:lang w:val="en-US" w:eastAsia="zh-CN"/>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1A224EE4">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72.84</w:t>
            </w:r>
          </w:p>
        </w:tc>
        <w:tc>
          <w:tcPr>
            <w:tcW w:w="1274" w:type="dxa"/>
            <w:vMerge w:val="continue"/>
            <w:tcBorders>
              <w:left w:val="single" w:color="auto" w:sz="4" w:space="0"/>
              <w:right w:val="single" w:color="auto" w:sz="4" w:space="0"/>
            </w:tcBorders>
            <w:noWrap w:val="0"/>
            <w:vAlign w:val="center"/>
          </w:tcPr>
          <w:p w14:paraId="1B69DEEE">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tcBorders>
              <w:left w:val="single" w:color="auto" w:sz="4" w:space="0"/>
              <w:right w:val="single" w:color="auto" w:sz="4" w:space="0"/>
            </w:tcBorders>
            <w:noWrap w:val="0"/>
            <w:vAlign w:val="center"/>
          </w:tcPr>
          <w:p w14:paraId="39C0206D">
            <w:pPr>
              <w:widowControl/>
              <w:jc w:val="center"/>
              <w:rPr>
                <w:rFonts w:hint="eastAsia" w:ascii="宋体" w:hAnsi="宋体" w:eastAsia="宋体" w:cs="宋体"/>
                <w:color w:val="000000"/>
                <w:kern w:val="0"/>
                <w:sz w:val="21"/>
                <w:szCs w:val="21"/>
                <w:highlight w:val="none"/>
                <w:lang w:val="en-US"/>
              </w:rPr>
            </w:pPr>
          </w:p>
        </w:tc>
        <w:tc>
          <w:tcPr>
            <w:tcW w:w="1060" w:type="dxa"/>
            <w:vMerge w:val="continue"/>
            <w:tcBorders>
              <w:left w:val="single" w:color="auto" w:sz="4" w:space="0"/>
              <w:right w:val="single" w:color="auto" w:sz="4" w:space="0"/>
            </w:tcBorders>
            <w:noWrap w:val="0"/>
            <w:vAlign w:val="center"/>
          </w:tcPr>
          <w:p w14:paraId="7EE601B0">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tcBorders>
              <w:left w:val="single" w:color="auto" w:sz="4" w:space="0"/>
              <w:right w:val="single" w:color="auto" w:sz="4" w:space="0"/>
            </w:tcBorders>
            <w:noWrap w:val="0"/>
            <w:vAlign w:val="center"/>
          </w:tcPr>
          <w:p w14:paraId="27B7766A">
            <w:pPr>
              <w:widowControl/>
              <w:jc w:val="center"/>
              <w:textAlignment w:val="center"/>
              <w:rPr>
                <w:rFonts w:hint="eastAsia" w:ascii="宋体" w:hAnsi="宋体" w:eastAsia="宋体" w:cs="宋体"/>
                <w:color w:val="000000"/>
                <w:kern w:val="0"/>
                <w:sz w:val="21"/>
                <w:szCs w:val="21"/>
                <w:highlight w:val="none"/>
              </w:rPr>
            </w:pPr>
          </w:p>
        </w:tc>
      </w:tr>
      <w:tr w14:paraId="65AC7E73">
        <w:tblPrEx>
          <w:tblCellMar>
            <w:top w:w="0" w:type="dxa"/>
            <w:left w:w="108" w:type="dxa"/>
            <w:bottom w:w="0" w:type="dxa"/>
            <w:right w:w="108" w:type="dxa"/>
          </w:tblCellMar>
        </w:tblPrEx>
        <w:trPr>
          <w:trHeight w:val="1208" w:hRule="atLeast"/>
        </w:trPr>
        <w:tc>
          <w:tcPr>
            <w:tcW w:w="656" w:type="dxa"/>
            <w:vMerge w:val="continue"/>
            <w:tcBorders>
              <w:left w:val="single" w:color="auto" w:sz="4" w:space="0"/>
              <w:right w:val="single" w:color="auto" w:sz="4" w:space="0"/>
            </w:tcBorders>
            <w:noWrap w:val="0"/>
            <w:vAlign w:val="center"/>
          </w:tcPr>
          <w:p w14:paraId="666BACB4">
            <w:pPr>
              <w:widowControl/>
              <w:jc w:val="center"/>
              <w:rPr>
                <w:rFonts w:hint="eastAsia" w:ascii="宋体" w:hAnsi="宋体" w:eastAsia="宋体" w:cs="宋体"/>
                <w:color w:val="000000"/>
                <w:kern w:val="0"/>
                <w:sz w:val="21"/>
                <w:szCs w:val="21"/>
                <w:highlight w:val="none"/>
              </w:rPr>
            </w:pPr>
          </w:p>
        </w:tc>
        <w:tc>
          <w:tcPr>
            <w:tcW w:w="2571" w:type="dxa"/>
            <w:tcBorders>
              <w:top w:val="single" w:color="auto" w:sz="4" w:space="0"/>
              <w:left w:val="single" w:color="auto" w:sz="4" w:space="0"/>
              <w:bottom w:val="single" w:color="auto" w:sz="4" w:space="0"/>
              <w:right w:val="single" w:color="auto" w:sz="4" w:space="0"/>
            </w:tcBorders>
            <w:noWrap w:val="0"/>
            <w:vAlign w:val="center"/>
          </w:tcPr>
          <w:p w14:paraId="0745EB42">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镇海区蛟川街道东港河B地块东信东路230</w:t>
            </w:r>
            <w:r>
              <w:rPr>
                <w:rStyle w:val="13"/>
                <w:rFonts w:hint="eastAsia" w:ascii="宋体" w:hAnsi="宋体" w:eastAsia="宋体" w:cs="宋体"/>
                <w:sz w:val="21"/>
                <w:szCs w:val="21"/>
                <w:lang w:val="en-US" w:eastAsia="zh-CN" w:bidi="ar"/>
              </w:rPr>
              <w:t>号</w:t>
            </w:r>
            <w:r>
              <w:rPr>
                <w:rFonts w:hint="eastAsia" w:ascii="宋体" w:hAnsi="宋体" w:eastAsia="宋体" w:cs="宋体"/>
                <w:i w:val="0"/>
                <w:iCs w:val="0"/>
                <w:color w:val="000000"/>
                <w:kern w:val="0"/>
                <w:sz w:val="21"/>
                <w:szCs w:val="21"/>
                <w:u w:val="none"/>
                <w:lang w:val="en-US" w:eastAsia="zh-CN" w:bidi="ar"/>
              </w:rPr>
              <w:t>1-9,2-8</w:t>
            </w:r>
            <w:r>
              <w:rPr>
                <w:rStyle w:val="15"/>
                <w:rFonts w:hint="eastAsia" w:ascii="宋体" w:hAnsi="宋体" w:eastAsia="宋体" w:cs="宋体"/>
                <w:sz w:val="21"/>
                <w:szCs w:val="21"/>
                <w:lang w:val="en-US" w:eastAsia="zh-CN" w:bidi="ar"/>
              </w:rPr>
              <w:t>室</w:t>
            </w:r>
          </w:p>
        </w:tc>
        <w:tc>
          <w:tcPr>
            <w:tcW w:w="855" w:type="dxa"/>
            <w:vMerge w:val="continue"/>
            <w:tcBorders>
              <w:left w:val="single" w:color="auto" w:sz="4" w:space="0"/>
              <w:right w:val="single" w:color="auto" w:sz="4" w:space="0"/>
            </w:tcBorders>
            <w:noWrap w:val="0"/>
            <w:vAlign w:val="center"/>
          </w:tcPr>
          <w:p w14:paraId="48C11E34">
            <w:pPr>
              <w:widowControl/>
              <w:jc w:val="center"/>
              <w:rPr>
                <w:rFonts w:hint="eastAsia" w:ascii="宋体" w:hAnsi="宋体" w:eastAsia="宋体" w:cs="宋体"/>
                <w:color w:val="000000"/>
                <w:kern w:val="0"/>
                <w:sz w:val="21"/>
                <w:szCs w:val="21"/>
                <w:highlight w:val="none"/>
                <w:lang w:val="en-US" w:eastAsia="zh-CN"/>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06D40FE5">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74.54</w:t>
            </w:r>
          </w:p>
        </w:tc>
        <w:tc>
          <w:tcPr>
            <w:tcW w:w="1274" w:type="dxa"/>
            <w:vMerge w:val="continue"/>
            <w:tcBorders>
              <w:left w:val="single" w:color="auto" w:sz="4" w:space="0"/>
              <w:right w:val="single" w:color="auto" w:sz="4" w:space="0"/>
            </w:tcBorders>
            <w:noWrap w:val="0"/>
            <w:vAlign w:val="center"/>
          </w:tcPr>
          <w:p w14:paraId="6B49CF55">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tcBorders>
              <w:left w:val="single" w:color="auto" w:sz="4" w:space="0"/>
              <w:right w:val="single" w:color="auto" w:sz="4" w:space="0"/>
            </w:tcBorders>
            <w:noWrap w:val="0"/>
            <w:vAlign w:val="center"/>
          </w:tcPr>
          <w:p w14:paraId="5D536952">
            <w:pPr>
              <w:widowControl/>
              <w:jc w:val="center"/>
              <w:rPr>
                <w:rFonts w:hint="eastAsia" w:ascii="宋体" w:hAnsi="宋体" w:eastAsia="宋体" w:cs="宋体"/>
                <w:color w:val="000000"/>
                <w:kern w:val="0"/>
                <w:sz w:val="21"/>
                <w:szCs w:val="21"/>
                <w:highlight w:val="none"/>
                <w:lang w:val="en-US"/>
              </w:rPr>
            </w:pPr>
          </w:p>
        </w:tc>
        <w:tc>
          <w:tcPr>
            <w:tcW w:w="1060" w:type="dxa"/>
            <w:vMerge w:val="continue"/>
            <w:tcBorders>
              <w:left w:val="single" w:color="auto" w:sz="4" w:space="0"/>
              <w:right w:val="single" w:color="auto" w:sz="4" w:space="0"/>
            </w:tcBorders>
            <w:noWrap w:val="0"/>
            <w:vAlign w:val="center"/>
          </w:tcPr>
          <w:p w14:paraId="1C402D0B">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tcBorders>
              <w:left w:val="single" w:color="auto" w:sz="4" w:space="0"/>
              <w:right w:val="single" w:color="auto" w:sz="4" w:space="0"/>
            </w:tcBorders>
            <w:noWrap w:val="0"/>
            <w:vAlign w:val="center"/>
          </w:tcPr>
          <w:p w14:paraId="1523704C">
            <w:pPr>
              <w:widowControl/>
              <w:jc w:val="center"/>
              <w:textAlignment w:val="center"/>
              <w:rPr>
                <w:rFonts w:hint="eastAsia" w:ascii="宋体" w:hAnsi="宋体" w:eastAsia="宋体" w:cs="宋体"/>
                <w:color w:val="000000"/>
                <w:kern w:val="0"/>
                <w:sz w:val="21"/>
                <w:szCs w:val="21"/>
                <w:highlight w:val="none"/>
              </w:rPr>
            </w:pPr>
          </w:p>
        </w:tc>
      </w:tr>
      <w:tr w14:paraId="35889C65">
        <w:tblPrEx>
          <w:tblCellMar>
            <w:top w:w="0" w:type="dxa"/>
            <w:left w:w="108" w:type="dxa"/>
            <w:bottom w:w="0" w:type="dxa"/>
            <w:right w:w="108" w:type="dxa"/>
          </w:tblCellMar>
        </w:tblPrEx>
        <w:trPr>
          <w:trHeight w:val="1208" w:hRule="atLeast"/>
        </w:trPr>
        <w:tc>
          <w:tcPr>
            <w:tcW w:w="656" w:type="dxa"/>
            <w:vMerge w:val="continue"/>
            <w:tcBorders>
              <w:left w:val="single" w:color="auto" w:sz="4" w:space="0"/>
              <w:right w:val="single" w:color="auto" w:sz="4" w:space="0"/>
            </w:tcBorders>
            <w:noWrap w:val="0"/>
            <w:vAlign w:val="center"/>
          </w:tcPr>
          <w:p w14:paraId="5F185386">
            <w:pPr>
              <w:widowControl/>
              <w:jc w:val="center"/>
              <w:rPr>
                <w:rFonts w:hint="eastAsia" w:ascii="宋体" w:hAnsi="宋体" w:eastAsia="宋体" w:cs="宋体"/>
                <w:color w:val="000000"/>
                <w:kern w:val="0"/>
                <w:sz w:val="21"/>
                <w:szCs w:val="21"/>
                <w:highlight w:val="none"/>
              </w:rPr>
            </w:pPr>
          </w:p>
        </w:tc>
        <w:tc>
          <w:tcPr>
            <w:tcW w:w="2571" w:type="dxa"/>
            <w:tcBorders>
              <w:top w:val="single" w:color="auto" w:sz="4" w:space="0"/>
              <w:left w:val="single" w:color="auto" w:sz="4" w:space="0"/>
              <w:bottom w:val="single" w:color="auto" w:sz="4" w:space="0"/>
              <w:right w:val="single" w:color="auto" w:sz="4" w:space="0"/>
            </w:tcBorders>
            <w:noWrap w:val="0"/>
            <w:vAlign w:val="center"/>
          </w:tcPr>
          <w:p w14:paraId="237F4FF6">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镇海区蛟川街道东港河B地块东信东路232</w:t>
            </w:r>
            <w:r>
              <w:rPr>
                <w:rStyle w:val="13"/>
                <w:rFonts w:hint="eastAsia" w:ascii="宋体" w:hAnsi="宋体" w:eastAsia="宋体" w:cs="宋体"/>
                <w:sz w:val="21"/>
                <w:szCs w:val="21"/>
                <w:lang w:val="en-US" w:eastAsia="zh-CN" w:bidi="ar"/>
              </w:rPr>
              <w:t>号</w:t>
            </w:r>
            <w:r>
              <w:rPr>
                <w:rFonts w:hint="eastAsia" w:ascii="宋体" w:hAnsi="宋体" w:eastAsia="宋体" w:cs="宋体"/>
                <w:i w:val="0"/>
                <w:iCs w:val="0"/>
                <w:color w:val="000000"/>
                <w:kern w:val="0"/>
                <w:sz w:val="21"/>
                <w:szCs w:val="21"/>
                <w:u w:val="none"/>
                <w:lang w:val="en-US" w:eastAsia="zh-CN" w:bidi="ar"/>
              </w:rPr>
              <w:t>1-1,2-1</w:t>
            </w:r>
            <w:r>
              <w:rPr>
                <w:rStyle w:val="15"/>
                <w:rFonts w:hint="eastAsia" w:ascii="宋体" w:hAnsi="宋体" w:eastAsia="宋体" w:cs="宋体"/>
                <w:sz w:val="21"/>
                <w:szCs w:val="21"/>
                <w:lang w:val="en-US" w:eastAsia="zh-CN" w:bidi="ar"/>
              </w:rPr>
              <w:t>室</w:t>
            </w:r>
          </w:p>
        </w:tc>
        <w:tc>
          <w:tcPr>
            <w:tcW w:w="855" w:type="dxa"/>
            <w:vMerge w:val="continue"/>
            <w:tcBorders>
              <w:left w:val="single" w:color="auto" w:sz="4" w:space="0"/>
              <w:right w:val="single" w:color="auto" w:sz="4" w:space="0"/>
            </w:tcBorders>
            <w:noWrap w:val="0"/>
            <w:vAlign w:val="center"/>
          </w:tcPr>
          <w:p w14:paraId="19A629CE">
            <w:pPr>
              <w:widowControl/>
              <w:jc w:val="center"/>
              <w:rPr>
                <w:rFonts w:hint="eastAsia" w:ascii="宋体" w:hAnsi="宋体" w:eastAsia="宋体" w:cs="宋体"/>
                <w:color w:val="000000"/>
                <w:kern w:val="0"/>
                <w:sz w:val="21"/>
                <w:szCs w:val="21"/>
                <w:highlight w:val="none"/>
                <w:lang w:val="en-US" w:eastAsia="zh-CN"/>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343B8DDF">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74.54</w:t>
            </w:r>
          </w:p>
        </w:tc>
        <w:tc>
          <w:tcPr>
            <w:tcW w:w="1274" w:type="dxa"/>
            <w:vMerge w:val="continue"/>
            <w:tcBorders>
              <w:left w:val="single" w:color="auto" w:sz="4" w:space="0"/>
              <w:right w:val="single" w:color="auto" w:sz="4" w:space="0"/>
            </w:tcBorders>
            <w:noWrap w:val="0"/>
            <w:vAlign w:val="center"/>
          </w:tcPr>
          <w:p w14:paraId="2F6E6027">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tcBorders>
              <w:left w:val="single" w:color="auto" w:sz="4" w:space="0"/>
              <w:right w:val="single" w:color="auto" w:sz="4" w:space="0"/>
            </w:tcBorders>
            <w:noWrap w:val="0"/>
            <w:vAlign w:val="center"/>
          </w:tcPr>
          <w:p w14:paraId="227B9178">
            <w:pPr>
              <w:widowControl/>
              <w:jc w:val="center"/>
              <w:rPr>
                <w:rFonts w:hint="eastAsia" w:ascii="宋体" w:hAnsi="宋体" w:eastAsia="宋体" w:cs="宋体"/>
                <w:color w:val="000000"/>
                <w:kern w:val="0"/>
                <w:sz w:val="21"/>
                <w:szCs w:val="21"/>
                <w:highlight w:val="none"/>
                <w:lang w:val="en-US"/>
              </w:rPr>
            </w:pPr>
          </w:p>
        </w:tc>
        <w:tc>
          <w:tcPr>
            <w:tcW w:w="1060" w:type="dxa"/>
            <w:vMerge w:val="continue"/>
            <w:tcBorders>
              <w:left w:val="single" w:color="auto" w:sz="4" w:space="0"/>
              <w:right w:val="single" w:color="auto" w:sz="4" w:space="0"/>
            </w:tcBorders>
            <w:noWrap w:val="0"/>
            <w:vAlign w:val="center"/>
          </w:tcPr>
          <w:p w14:paraId="2D1BC1FF">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tcBorders>
              <w:left w:val="single" w:color="auto" w:sz="4" w:space="0"/>
              <w:right w:val="single" w:color="auto" w:sz="4" w:space="0"/>
            </w:tcBorders>
            <w:noWrap w:val="0"/>
            <w:vAlign w:val="center"/>
          </w:tcPr>
          <w:p w14:paraId="450784F2">
            <w:pPr>
              <w:widowControl/>
              <w:jc w:val="center"/>
              <w:textAlignment w:val="center"/>
              <w:rPr>
                <w:rFonts w:hint="eastAsia" w:ascii="宋体" w:hAnsi="宋体" w:eastAsia="宋体" w:cs="宋体"/>
                <w:color w:val="000000"/>
                <w:kern w:val="0"/>
                <w:sz w:val="21"/>
                <w:szCs w:val="21"/>
                <w:highlight w:val="none"/>
              </w:rPr>
            </w:pPr>
          </w:p>
        </w:tc>
      </w:tr>
      <w:tr w14:paraId="1172729A">
        <w:tblPrEx>
          <w:tblCellMar>
            <w:top w:w="0" w:type="dxa"/>
            <w:left w:w="108" w:type="dxa"/>
            <w:bottom w:w="0" w:type="dxa"/>
            <w:right w:w="108" w:type="dxa"/>
          </w:tblCellMar>
        </w:tblPrEx>
        <w:trPr>
          <w:trHeight w:val="1208" w:hRule="atLeast"/>
        </w:trPr>
        <w:tc>
          <w:tcPr>
            <w:tcW w:w="656" w:type="dxa"/>
            <w:vMerge w:val="continue"/>
            <w:tcBorders>
              <w:left w:val="single" w:color="auto" w:sz="4" w:space="0"/>
              <w:right w:val="single" w:color="auto" w:sz="4" w:space="0"/>
            </w:tcBorders>
            <w:noWrap w:val="0"/>
            <w:vAlign w:val="center"/>
          </w:tcPr>
          <w:p w14:paraId="074BF49D">
            <w:pPr>
              <w:widowControl/>
              <w:jc w:val="center"/>
              <w:rPr>
                <w:rFonts w:hint="eastAsia" w:ascii="宋体" w:hAnsi="宋体" w:eastAsia="宋体" w:cs="宋体"/>
                <w:color w:val="000000"/>
                <w:kern w:val="0"/>
                <w:sz w:val="21"/>
                <w:szCs w:val="21"/>
                <w:highlight w:val="none"/>
              </w:rPr>
            </w:pPr>
          </w:p>
        </w:tc>
        <w:tc>
          <w:tcPr>
            <w:tcW w:w="2571" w:type="dxa"/>
            <w:tcBorders>
              <w:top w:val="single" w:color="auto" w:sz="4" w:space="0"/>
              <w:left w:val="single" w:color="auto" w:sz="4" w:space="0"/>
              <w:bottom w:val="single" w:color="auto" w:sz="4" w:space="0"/>
              <w:right w:val="single" w:color="auto" w:sz="4" w:space="0"/>
            </w:tcBorders>
            <w:noWrap w:val="0"/>
            <w:vAlign w:val="center"/>
          </w:tcPr>
          <w:p w14:paraId="53BA2378">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镇海区蛟川街道东港河B地块东信东路234</w:t>
            </w:r>
            <w:r>
              <w:rPr>
                <w:rStyle w:val="13"/>
                <w:rFonts w:hint="eastAsia" w:ascii="宋体" w:hAnsi="宋体" w:eastAsia="宋体" w:cs="宋体"/>
                <w:sz w:val="21"/>
                <w:szCs w:val="21"/>
                <w:lang w:val="en-US" w:eastAsia="zh-CN" w:bidi="ar"/>
              </w:rPr>
              <w:t>号</w:t>
            </w:r>
            <w:r>
              <w:rPr>
                <w:rFonts w:hint="eastAsia" w:ascii="宋体" w:hAnsi="宋体" w:eastAsia="宋体" w:cs="宋体"/>
                <w:i w:val="0"/>
                <w:iCs w:val="0"/>
                <w:color w:val="000000"/>
                <w:kern w:val="0"/>
                <w:sz w:val="21"/>
                <w:szCs w:val="21"/>
                <w:u w:val="none"/>
                <w:lang w:val="en-US" w:eastAsia="zh-CN" w:bidi="ar"/>
              </w:rPr>
              <w:t>1-2,2-2</w:t>
            </w:r>
            <w:r>
              <w:rPr>
                <w:rStyle w:val="15"/>
                <w:rFonts w:hint="eastAsia" w:ascii="宋体" w:hAnsi="宋体" w:eastAsia="宋体" w:cs="宋体"/>
                <w:sz w:val="21"/>
                <w:szCs w:val="21"/>
                <w:lang w:val="en-US" w:eastAsia="zh-CN" w:bidi="ar"/>
              </w:rPr>
              <w:t>室</w:t>
            </w:r>
          </w:p>
        </w:tc>
        <w:tc>
          <w:tcPr>
            <w:tcW w:w="855" w:type="dxa"/>
            <w:vMerge w:val="continue"/>
            <w:tcBorders>
              <w:left w:val="single" w:color="auto" w:sz="4" w:space="0"/>
              <w:right w:val="single" w:color="auto" w:sz="4" w:space="0"/>
            </w:tcBorders>
            <w:noWrap w:val="0"/>
            <w:vAlign w:val="center"/>
          </w:tcPr>
          <w:p w14:paraId="2CB85164">
            <w:pPr>
              <w:widowControl/>
              <w:jc w:val="center"/>
              <w:rPr>
                <w:rFonts w:hint="eastAsia" w:ascii="宋体" w:hAnsi="宋体" w:eastAsia="宋体" w:cs="宋体"/>
                <w:color w:val="000000"/>
                <w:kern w:val="0"/>
                <w:sz w:val="21"/>
                <w:szCs w:val="21"/>
                <w:highlight w:val="none"/>
                <w:lang w:val="en-US" w:eastAsia="zh-CN"/>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0DC725A6">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72.86</w:t>
            </w:r>
          </w:p>
        </w:tc>
        <w:tc>
          <w:tcPr>
            <w:tcW w:w="1274" w:type="dxa"/>
            <w:vMerge w:val="continue"/>
            <w:tcBorders>
              <w:left w:val="single" w:color="auto" w:sz="4" w:space="0"/>
              <w:right w:val="single" w:color="auto" w:sz="4" w:space="0"/>
            </w:tcBorders>
            <w:noWrap w:val="0"/>
            <w:vAlign w:val="center"/>
          </w:tcPr>
          <w:p w14:paraId="35BC9B9D">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tcBorders>
              <w:left w:val="single" w:color="auto" w:sz="4" w:space="0"/>
              <w:right w:val="single" w:color="auto" w:sz="4" w:space="0"/>
            </w:tcBorders>
            <w:noWrap w:val="0"/>
            <w:vAlign w:val="center"/>
          </w:tcPr>
          <w:p w14:paraId="77DE349D">
            <w:pPr>
              <w:widowControl/>
              <w:jc w:val="center"/>
              <w:rPr>
                <w:rFonts w:hint="eastAsia" w:ascii="宋体" w:hAnsi="宋体" w:eastAsia="宋体" w:cs="宋体"/>
                <w:color w:val="000000"/>
                <w:kern w:val="0"/>
                <w:sz w:val="21"/>
                <w:szCs w:val="21"/>
                <w:highlight w:val="none"/>
                <w:lang w:val="en-US"/>
              </w:rPr>
            </w:pPr>
          </w:p>
        </w:tc>
        <w:tc>
          <w:tcPr>
            <w:tcW w:w="1060" w:type="dxa"/>
            <w:vMerge w:val="continue"/>
            <w:tcBorders>
              <w:left w:val="single" w:color="auto" w:sz="4" w:space="0"/>
              <w:right w:val="single" w:color="auto" w:sz="4" w:space="0"/>
            </w:tcBorders>
            <w:noWrap w:val="0"/>
            <w:vAlign w:val="center"/>
          </w:tcPr>
          <w:p w14:paraId="3EA58862">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tcBorders>
              <w:left w:val="single" w:color="auto" w:sz="4" w:space="0"/>
              <w:right w:val="single" w:color="auto" w:sz="4" w:space="0"/>
            </w:tcBorders>
            <w:noWrap w:val="0"/>
            <w:vAlign w:val="center"/>
          </w:tcPr>
          <w:p w14:paraId="5F15D895">
            <w:pPr>
              <w:widowControl/>
              <w:jc w:val="center"/>
              <w:textAlignment w:val="center"/>
              <w:rPr>
                <w:rFonts w:hint="eastAsia" w:ascii="宋体" w:hAnsi="宋体" w:eastAsia="宋体" w:cs="宋体"/>
                <w:color w:val="000000"/>
                <w:kern w:val="0"/>
                <w:sz w:val="21"/>
                <w:szCs w:val="21"/>
                <w:highlight w:val="none"/>
              </w:rPr>
            </w:pPr>
          </w:p>
        </w:tc>
      </w:tr>
      <w:tr w14:paraId="615C8E94">
        <w:tblPrEx>
          <w:tblCellMar>
            <w:top w:w="0" w:type="dxa"/>
            <w:left w:w="108" w:type="dxa"/>
            <w:bottom w:w="0" w:type="dxa"/>
            <w:right w:w="108" w:type="dxa"/>
          </w:tblCellMar>
        </w:tblPrEx>
        <w:trPr>
          <w:trHeight w:val="1208" w:hRule="atLeast"/>
        </w:trPr>
        <w:tc>
          <w:tcPr>
            <w:tcW w:w="656" w:type="dxa"/>
            <w:vMerge w:val="continue"/>
            <w:tcBorders>
              <w:left w:val="single" w:color="auto" w:sz="4" w:space="0"/>
              <w:right w:val="single" w:color="auto" w:sz="4" w:space="0"/>
            </w:tcBorders>
            <w:noWrap w:val="0"/>
            <w:vAlign w:val="center"/>
          </w:tcPr>
          <w:p w14:paraId="7E117A6A">
            <w:pPr>
              <w:widowControl/>
              <w:jc w:val="center"/>
              <w:rPr>
                <w:rFonts w:hint="eastAsia" w:ascii="宋体" w:hAnsi="宋体" w:eastAsia="宋体" w:cs="宋体"/>
                <w:color w:val="000000"/>
                <w:kern w:val="0"/>
                <w:sz w:val="21"/>
                <w:szCs w:val="21"/>
                <w:highlight w:val="none"/>
              </w:rPr>
            </w:pPr>
          </w:p>
        </w:tc>
        <w:tc>
          <w:tcPr>
            <w:tcW w:w="2571" w:type="dxa"/>
            <w:tcBorders>
              <w:top w:val="single" w:color="auto" w:sz="4" w:space="0"/>
              <w:left w:val="single" w:color="auto" w:sz="4" w:space="0"/>
              <w:bottom w:val="single" w:color="auto" w:sz="4" w:space="0"/>
              <w:right w:val="single" w:color="auto" w:sz="4" w:space="0"/>
            </w:tcBorders>
            <w:noWrap w:val="0"/>
            <w:vAlign w:val="center"/>
          </w:tcPr>
          <w:p w14:paraId="5ACE0C4C">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镇海区蛟川街道东港河B地块东信东路236</w:t>
            </w:r>
            <w:r>
              <w:rPr>
                <w:rStyle w:val="13"/>
                <w:rFonts w:hint="eastAsia" w:ascii="宋体" w:hAnsi="宋体" w:eastAsia="宋体" w:cs="宋体"/>
                <w:sz w:val="21"/>
                <w:szCs w:val="21"/>
                <w:lang w:val="en-US" w:eastAsia="zh-CN" w:bidi="ar"/>
              </w:rPr>
              <w:t>号</w:t>
            </w:r>
            <w:r>
              <w:rPr>
                <w:rFonts w:hint="eastAsia" w:ascii="宋体" w:hAnsi="宋体" w:eastAsia="宋体" w:cs="宋体"/>
                <w:i w:val="0"/>
                <w:iCs w:val="0"/>
                <w:color w:val="000000"/>
                <w:kern w:val="0"/>
                <w:sz w:val="21"/>
                <w:szCs w:val="21"/>
                <w:u w:val="none"/>
                <w:lang w:val="en-US" w:eastAsia="zh-CN" w:bidi="ar"/>
              </w:rPr>
              <w:t>1-3,2-3</w:t>
            </w:r>
            <w:r>
              <w:rPr>
                <w:rStyle w:val="15"/>
                <w:rFonts w:hint="eastAsia" w:ascii="宋体" w:hAnsi="宋体" w:eastAsia="宋体" w:cs="宋体"/>
                <w:sz w:val="21"/>
                <w:szCs w:val="21"/>
                <w:lang w:val="en-US" w:eastAsia="zh-CN" w:bidi="ar"/>
              </w:rPr>
              <w:t>室</w:t>
            </w:r>
          </w:p>
        </w:tc>
        <w:tc>
          <w:tcPr>
            <w:tcW w:w="855" w:type="dxa"/>
            <w:vMerge w:val="continue"/>
            <w:tcBorders>
              <w:left w:val="single" w:color="auto" w:sz="4" w:space="0"/>
              <w:right w:val="single" w:color="auto" w:sz="4" w:space="0"/>
            </w:tcBorders>
            <w:noWrap w:val="0"/>
            <w:vAlign w:val="center"/>
          </w:tcPr>
          <w:p w14:paraId="3AF67D62">
            <w:pPr>
              <w:widowControl/>
              <w:jc w:val="center"/>
              <w:rPr>
                <w:rFonts w:hint="eastAsia" w:ascii="宋体" w:hAnsi="宋体" w:eastAsia="宋体" w:cs="宋体"/>
                <w:color w:val="000000"/>
                <w:kern w:val="0"/>
                <w:sz w:val="21"/>
                <w:szCs w:val="21"/>
                <w:highlight w:val="none"/>
                <w:lang w:val="en-US" w:eastAsia="zh-CN"/>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5662004D">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127.22</w:t>
            </w:r>
          </w:p>
        </w:tc>
        <w:tc>
          <w:tcPr>
            <w:tcW w:w="1274" w:type="dxa"/>
            <w:vMerge w:val="continue"/>
            <w:tcBorders>
              <w:left w:val="single" w:color="auto" w:sz="4" w:space="0"/>
              <w:right w:val="single" w:color="auto" w:sz="4" w:space="0"/>
            </w:tcBorders>
            <w:noWrap w:val="0"/>
            <w:vAlign w:val="center"/>
          </w:tcPr>
          <w:p w14:paraId="5D38D99B">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tcBorders>
              <w:left w:val="single" w:color="auto" w:sz="4" w:space="0"/>
              <w:right w:val="single" w:color="auto" w:sz="4" w:space="0"/>
            </w:tcBorders>
            <w:noWrap w:val="0"/>
            <w:vAlign w:val="center"/>
          </w:tcPr>
          <w:p w14:paraId="20A6F20F">
            <w:pPr>
              <w:widowControl/>
              <w:jc w:val="center"/>
              <w:rPr>
                <w:rFonts w:hint="eastAsia" w:ascii="宋体" w:hAnsi="宋体" w:eastAsia="宋体" w:cs="宋体"/>
                <w:color w:val="000000"/>
                <w:kern w:val="0"/>
                <w:sz w:val="21"/>
                <w:szCs w:val="21"/>
                <w:highlight w:val="none"/>
                <w:lang w:val="en-US"/>
              </w:rPr>
            </w:pPr>
          </w:p>
        </w:tc>
        <w:tc>
          <w:tcPr>
            <w:tcW w:w="1060" w:type="dxa"/>
            <w:vMerge w:val="continue"/>
            <w:tcBorders>
              <w:left w:val="single" w:color="auto" w:sz="4" w:space="0"/>
              <w:right w:val="single" w:color="auto" w:sz="4" w:space="0"/>
            </w:tcBorders>
            <w:noWrap w:val="0"/>
            <w:vAlign w:val="center"/>
          </w:tcPr>
          <w:p w14:paraId="24D84658">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tcBorders>
              <w:left w:val="single" w:color="auto" w:sz="4" w:space="0"/>
              <w:right w:val="single" w:color="auto" w:sz="4" w:space="0"/>
            </w:tcBorders>
            <w:noWrap w:val="0"/>
            <w:vAlign w:val="center"/>
          </w:tcPr>
          <w:p w14:paraId="08A51476">
            <w:pPr>
              <w:widowControl/>
              <w:jc w:val="center"/>
              <w:textAlignment w:val="center"/>
              <w:rPr>
                <w:rFonts w:hint="eastAsia" w:ascii="宋体" w:hAnsi="宋体" w:eastAsia="宋体" w:cs="宋体"/>
                <w:color w:val="000000"/>
                <w:kern w:val="0"/>
                <w:sz w:val="21"/>
                <w:szCs w:val="21"/>
                <w:highlight w:val="none"/>
              </w:rPr>
            </w:pPr>
          </w:p>
        </w:tc>
      </w:tr>
      <w:tr w14:paraId="2B50390C">
        <w:tblPrEx>
          <w:tblCellMar>
            <w:top w:w="0" w:type="dxa"/>
            <w:left w:w="108" w:type="dxa"/>
            <w:bottom w:w="0" w:type="dxa"/>
            <w:right w:w="108" w:type="dxa"/>
          </w:tblCellMar>
        </w:tblPrEx>
        <w:trPr>
          <w:trHeight w:val="1208" w:hRule="atLeast"/>
        </w:trPr>
        <w:tc>
          <w:tcPr>
            <w:tcW w:w="656" w:type="dxa"/>
            <w:vMerge w:val="continue"/>
            <w:tcBorders>
              <w:left w:val="single" w:color="auto" w:sz="4" w:space="0"/>
              <w:right w:val="single" w:color="auto" w:sz="4" w:space="0"/>
            </w:tcBorders>
            <w:noWrap w:val="0"/>
            <w:vAlign w:val="center"/>
          </w:tcPr>
          <w:p w14:paraId="66EC803B">
            <w:pPr>
              <w:widowControl/>
              <w:jc w:val="center"/>
              <w:rPr>
                <w:rFonts w:hint="eastAsia" w:ascii="宋体" w:hAnsi="宋体" w:eastAsia="宋体" w:cs="宋体"/>
                <w:color w:val="000000"/>
                <w:kern w:val="0"/>
                <w:sz w:val="21"/>
                <w:szCs w:val="21"/>
                <w:highlight w:val="none"/>
              </w:rPr>
            </w:pPr>
          </w:p>
        </w:tc>
        <w:tc>
          <w:tcPr>
            <w:tcW w:w="2571" w:type="dxa"/>
            <w:tcBorders>
              <w:top w:val="single" w:color="auto" w:sz="4" w:space="0"/>
              <w:left w:val="single" w:color="auto" w:sz="4" w:space="0"/>
              <w:bottom w:val="single" w:color="auto" w:sz="4" w:space="0"/>
              <w:right w:val="single" w:color="auto" w:sz="4" w:space="0"/>
            </w:tcBorders>
            <w:noWrap w:val="0"/>
            <w:vAlign w:val="center"/>
          </w:tcPr>
          <w:p w14:paraId="37DB7B86">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镇海区蛟川街道东港河B地块东信东路238</w:t>
            </w:r>
            <w:r>
              <w:rPr>
                <w:rStyle w:val="13"/>
                <w:rFonts w:hint="eastAsia" w:ascii="宋体" w:hAnsi="宋体" w:eastAsia="宋体" w:cs="宋体"/>
                <w:sz w:val="21"/>
                <w:szCs w:val="21"/>
                <w:lang w:val="en-US" w:eastAsia="zh-CN" w:bidi="ar"/>
              </w:rPr>
              <w:t>号</w:t>
            </w:r>
            <w:r>
              <w:rPr>
                <w:rFonts w:hint="eastAsia" w:ascii="宋体" w:hAnsi="宋体" w:eastAsia="宋体" w:cs="宋体"/>
                <w:i w:val="0"/>
                <w:iCs w:val="0"/>
                <w:color w:val="000000"/>
                <w:kern w:val="0"/>
                <w:sz w:val="21"/>
                <w:szCs w:val="21"/>
                <w:u w:val="none"/>
                <w:lang w:val="en-US" w:eastAsia="zh-CN" w:bidi="ar"/>
              </w:rPr>
              <w:t>1-4,2-4</w:t>
            </w:r>
            <w:r>
              <w:rPr>
                <w:rStyle w:val="15"/>
                <w:rFonts w:hint="eastAsia" w:ascii="宋体" w:hAnsi="宋体" w:eastAsia="宋体" w:cs="宋体"/>
                <w:sz w:val="21"/>
                <w:szCs w:val="21"/>
                <w:lang w:val="en-US" w:eastAsia="zh-CN" w:bidi="ar"/>
              </w:rPr>
              <w:t>室</w:t>
            </w:r>
          </w:p>
        </w:tc>
        <w:tc>
          <w:tcPr>
            <w:tcW w:w="855" w:type="dxa"/>
            <w:vMerge w:val="continue"/>
            <w:tcBorders>
              <w:left w:val="single" w:color="auto" w:sz="4" w:space="0"/>
              <w:right w:val="single" w:color="auto" w:sz="4" w:space="0"/>
            </w:tcBorders>
            <w:noWrap w:val="0"/>
            <w:vAlign w:val="center"/>
          </w:tcPr>
          <w:p w14:paraId="04074FA9">
            <w:pPr>
              <w:widowControl/>
              <w:jc w:val="center"/>
              <w:rPr>
                <w:rFonts w:hint="eastAsia" w:ascii="宋体" w:hAnsi="宋体" w:eastAsia="宋体" w:cs="宋体"/>
                <w:color w:val="000000"/>
                <w:kern w:val="0"/>
                <w:sz w:val="21"/>
                <w:szCs w:val="21"/>
                <w:highlight w:val="none"/>
                <w:lang w:val="en-US" w:eastAsia="zh-CN"/>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027DE5DC">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72.38</w:t>
            </w:r>
          </w:p>
        </w:tc>
        <w:tc>
          <w:tcPr>
            <w:tcW w:w="1274" w:type="dxa"/>
            <w:vMerge w:val="continue"/>
            <w:tcBorders>
              <w:left w:val="single" w:color="auto" w:sz="4" w:space="0"/>
              <w:right w:val="single" w:color="auto" w:sz="4" w:space="0"/>
            </w:tcBorders>
            <w:noWrap w:val="0"/>
            <w:vAlign w:val="center"/>
          </w:tcPr>
          <w:p w14:paraId="425D0CFE">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tcBorders>
              <w:left w:val="single" w:color="auto" w:sz="4" w:space="0"/>
              <w:right w:val="single" w:color="auto" w:sz="4" w:space="0"/>
            </w:tcBorders>
            <w:noWrap w:val="0"/>
            <w:vAlign w:val="center"/>
          </w:tcPr>
          <w:p w14:paraId="308CEAE9">
            <w:pPr>
              <w:widowControl/>
              <w:jc w:val="center"/>
              <w:rPr>
                <w:rFonts w:hint="eastAsia" w:ascii="宋体" w:hAnsi="宋体" w:eastAsia="宋体" w:cs="宋体"/>
                <w:color w:val="000000"/>
                <w:kern w:val="0"/>
                <w:sz w:val="21"/>
                <w:szCs w:val="21"/>
                <w:highlight w:val="none"/>
                <w:lang w:val="en-US"/>
              </w:rPr>
            </w:pPr>
          </w:p>
        </w:tc>
        <w:tc>
          <w:tcPr>
            <w:tcW w:w="1060" w:type="dxa"/>
            <w:vMerge w:val="continue"/>
            <w:tcBorders>
              <w:left w:val="single" w:color="auto" w:sz="4" w:space="0"/>
              <w:right w:val="single" w:color="auto" w:sz="4" w:space="0"/>
            </w:tcBorders>
            <w:noWrap w:val="0"/>
            <w:vAlign w:val="center"/>
          </w:tcPr>
          <w:p w14:paraId="158C3020">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tcBorders>
              <w:left w:val="single" w:color="auto" w:sz="4" w:space="0"/>
              <w:right w:val="single" w:color="auto" w:sz="4" w:space="0"/>
            </w:tcBorders>
            <w:noWrap w:val="0"/>
            <w:vAlign w:val="center"/>
          </w:tcPr>
          <w:p w14:paraId="7F6911AB">
            <w:pPr>
              <w:widowControl/>
              <w:jc w:val="center"/>
              <w:textAlignment w:val="center"/>
              <w:rPr>
                <w:rFonts w:hint="eastAsia" w:ascii="宋体" w:hAnsi="宋体" w:eastAsia="宋体" w:cs="宋体"/>
                <w:color w:val="000000"/>
                <w:kern w:val="0"/>
                <w:sz w:val="21"/>
                <w:szCs w:val="21"/>
                <w:highlight w:val="none"/>
              </w:rPr>
            </w:pPr>
          </w:p>
        </w:tc>
      </w:tr>
      <w:tr w14:paraId="4A79F632">
        <w:tblPrEx>
          <w:tblCellMar>
            <w:top w:w="0" w:type="dxa"/>
            <w:left w:w="108" w:type="dxa"/>
            <w:bottom w:w="0" w:type="dxa"/>
            <w:right w:w="108" w:type="dxa"/>
          </w:tblCellMar>
        </w:tblPrEx>
        <w:trPr>
          <w:trHeight w:val="1208" w:hRule="atLeast"/>
        </w:trPr>
        <w:tc>
          <w:tcPr>
            <w:tcW w:w="656" w:type="dxa"/>
            <w:vMerge w:val="continue"/>
            <w:tcBorders>
              <w:left w:val="single" w:color="auto" w:sz="4" w:space="0"/>
              <w:right w:val="single" w:color="auto" w:sz="4" w:space="0"/>
            </w:tcBorders>
            <w:noWrap w:val="0"/>
            <w:vAlign w:val="center"/>
          </w:tcPr>
          <w:p w14:paraId="2857094C">
            <w:pPr>
              <w:widowControl/>
              <w:jc w:val="center"/>
              <w:rPr>
                <w:rFonts w:hint="eastAsia" w:ascii="宋体" w:hAnsi="宋体" w:eastAsia="宋体" w:cs="宋体"/>
                <w:color w:val="000000"/>
                <w:kern w:val="0"/>
                <w:sz w:val="21"/>
                <w:szCs w:val="21"/>
                <w:highlight w:val="none"/>
              </w:rPr>
            </w:pPr>
          </w:p>
        </w:tc>
        <w:tc>
          <w:tcPr>
            <w:tcW w:w="2571" w:type="dxa"/>
            <w:tcBorders>
              <w:top w:val="single" w:color="auto" w:sz="4" w:space="0"/>
              <w:left w:val="single" w:color="auto" w:sz="4" w:space="0"/>
              <w:bottom w:val="single" w:color="auto" w:sz="4" w:space="0"/>
              <w:right w:val="single" w:color="auto" w:sz="4" w:space="0"/>
            </w:tcBorders>
            <w:noWrap w:val="0"/>
            <w:vAlign w:val="center"/>
          </w:tcPr>
          <w:p w14:paraId="66D3837F">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镇海区蛟川街道东港河B地块东信东路246</w:t>
            </w:r>
            <w:r>
              <w:rPr>
                <w:rStyle w:val="13"/>
                <w:rFonts w:hint="eastAsia" w:ascii="宋体" w:hAnsi="宋体" w:eastAsia="宋体" w:cs="宋体"/>
                <w:sz w:val="21"/>
                <w:szCs w:val="21"/>
                <w:lang w:val="en-US" w:eastAsia="zh-CN" w:bidi="ar"/>
              </w:rPr>
              <w:t>号</w:t>
            </w:r>
            <w:r>
              <w:rPr>
                <w:rFonts w:hint="eastAsia" w:ascii="宋体" w:hAnsi="宋体" w:eastAsia="宋体" w:cs="宋体"/>
                <w:i w:val="0"/>
                <w:iCs w:val="0"/>
                <w:color w:val="000000"/>
                <w:kern w:val="0"/>
                <w:sz w:val="21"/>
                <w:szCs w:val="21"/>
                <w:u w:val="none"/>
                <w:lang w:val="en-US" w:eastAsia="zh-CN" w:bidi="ar"/>
              </w:rPr>
              <w:t>1-7,2-7</w:t>
            </w:r>
            <w:r>
              <w:rPr>
                <w:rStyle w:val="15"/>
                <w:rFonts w:hint="eastAsia" w:ascii="宋体" w:hAnsi="宋体" w:eastAsia="宋体" w:cs="宋体"/>
                <w:sz w:val="21"/>
                <w:szCs w:val="21"/>
                <w:lang w:val="en-US" w:eastAsia="zh-CN" w:bidi="ar"/>
              </w:rPr>
              <w:t>室</w:t>
            </w:r>
          </w:p>
        </w:tc>
        <w:tc>
          <w:tcPr>
            <w:tcW w:w="855" w:type="dxa"/>
            <w:vMerge w:val="continue"/>
            <w:tcBorders>
              <w:left w:val="single" w:color="auto" w:sz="4" w:space="0"/>
              <w:right w:val="single" w:color="auto" w:sz="4" w:space="0"/>
            </w:tcBorders>
            <w:noWrap w:val="0"/>
            <w:vAlign w:val="center"/>
          </w:tcPr>
          <w:p w14:paraId="78C8067E">
            <w:pPr>
              <w:widowControl/>
              <w:jc w:val="center"/>
              <w:rPr>
                <w:rFonts w:hint="eastAsia" w:ascii="宋体" w:hAnsi="宋体" w:eastAsia="宋体" w:cs="宋体"/>
                <w:color w:val="000000"/>
                <w:kern w:val="0"/>
                <w:sz w:val="21"/>
                <w:szCs w:val="21"/>
                <w:highlight w:val="none"/>
                <w:lang w:val="en-US" w:eastAsia="zh-CN"/>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6983DFF4">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72.38</w:t>
            </w:r>
          </w:p>
        </w:tc>
        <w:tc>
          <w:tcPr>
            <w:tcW w:w="1274" w:type="dxa"/>
            <w:vMerge w:val="continue"/>
            <w:tcBorders>
              <w:left w:val="single" w:color="auto" w:sz="4" w:space="0"/>
              <w:right w:val="single" w:color="auto" w:sz="4" w:space="0"/>
            </w:tcBorders>
            <w:noWrap w:val="0"/>
            <w:vAlign w:val="center"/>
          </w:tcPr>
          <w:p w14:paraId="77808FBB">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tcBorders>
              <w:left w:val="single" w:color="auto" w:sz="4" w:space="0"/>
              <w:right w:val="single" w:color="auto" w:sz="4" w:space="0"/>
            </w:tcBorders>
            <w:noWrap w:val="0"/>
            <w:vAlign w:val="center"/>
          </w:tcPr>
          <w:p w14:paraId="52E24DF2">
            <w:pPr>
              <w:widowControl/>
              <w:jc w:val="center"/>
              <w:rPr>
                <w:rFonts w:hint="eastAsia" w:ascii="宋体" w:hAnsi="宋体" w:eastAsia="宋体" w:cs="宋体"/>
                <w:color w:val="000000"/>
                <w:kern w:val="0"/>
                <w:sz w:val="21"/>
                <w:szCs w:val="21"/>
                <w:highlight w:val="none"/>
                <w:lang w:val="en-US"/>
              </w:rPr>
            </w:pPr>
          </w:p>
        </w:tc>
        <w:tc>
          <w:tcPr>
            <w:tcW w:w="1060" w:type="dxa"/>
            <w:vMerge w:val="continue"/>
            <w:tcBorders>
              <w:left w:val="single" w:color="auto" w:sz="4" w:space="0"/>
              <w:right w:val="single" w:color="auto" w:sz="4" w:space="0"/>
            </w:tcBorders>
            <w:noWrap w:val="0"/>
            <w:vAlign w:val="center"/>
          </w:tcPr>
          <w:p w14:paraId="3F8F094D">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tcBorders>
              <w:left w:val="single" w:color="auto" w:sz="4" w:space="0"/>
              <w:right w:val="single" w:color="auto" w:sz="4" w:space="0"/>
            </w:tcBorders>
            <w:noWrap w:val="0"/>
            <w:vAlign w:val="center"/>
          </w:tcPr>
          <w:p w14:paraId="163B6E0F">
            <w:pPr>
              <w:widowControl/>
              <w:jc w:val="center"/>
              <w:textAlignment w:val="center"/>
              <w:rPr>
                <w:rFonts w:hint="eastAsia" w:ascii="宋体" w:hAnsi="宋体" w:eastAsia="宋体" w:cs="宋体"/>
                <w:color w:val="000000"/>
                <w:kern w:val="0"/>
                <w:sz w:val="21"/>
                <w:szCs w:val="21"/>
                <w:highlight w:val="none"/>
              </w:rPr>
            </w:pPr>
          </w:p>
        </w:tc>
      </w:tr>
      <w:tr w14:paraId="7DC907AA">
        <w:tblPrEx>
          <w:tblCellMar>
            <w:top w:w="0" w:type="dxa"/>
            <w:left w:w="108" w:type="dxa"/>
            <w:bottom w:w="0" w:type="dxa"/>
            <w:right w:w="108" w:type="dxa"/>
          </w:tblCellMar>
        </w:tblPrEx>
        <w:trPr>
          <w:trHeight w:val="1208" w:hRule="atLeast"/>
        </w:trPr>
        <w:tc>
          <w:tcPr>
            <w:tcW w:w="656" w:type="dxa"/>
            <w:vMerge w:val="continue"/>
            <w:tcBorders>
              <w:left w:val="single" w:color="auto" w:sz="4" w:space="0"/>
              <w:right w:val="single" w:color="auto" w:sz="4" w:space="0"/>
            </w:tcBorders>
            <w:noWrap w:val="0"/>
            <w:vAlign w:val="center"/>
          </w:tcPr>
          <w:p w14:paraId="411A7596">
            <w:pPr>
              <w:widowControl/>
              <w:jc w:val="center"/>
              <w:rPr>
                <w:rFonts w:hint="eastAsia" w:ascii="宋体" w:hAnsi="宋体" w:eastAsia="宋体" w:cs="宋体"/>
                <w:color w:val="000000"/>
                <w:kern w:val="0"/>
                <w:sz w:val="21"/>
                <w:szCs w:val="21"/>
                <w:highlight w:val="none"/>
              </w:rPr>
            </w:pPr>
          </w:p>
        </w:tc>
        <w:tc>
          <w:tcPr>
            <w:tcW w:w="2571" w:type="dxa"/>
            <w:tcBorders>
              <w:top w:val="single" w:color="auto" w:sz="4" w:space="0"/>
              <w:left w:val="single" w:color="auto" w:sz="4" w:space="0"/>
              <w:bottom w:val="single" w:color="auto" w:sz="4" w:space="0"/>
              <w:right w:val="single" w:color="auto" w:sz="4" w:space="0"/>
            </w:tcBorders>
            <w:noWrap w:val="0"/>
            <w:vAlign w:val="center"/>
          </w:tcPr>
          <w:p w14:paraId="088EE525">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镇海区蛟川街道东港河B地块东信东路250</w:t>
            </w:r>
            <w:r>
              <w:rPr>
                <w:rStyle w:val="13"/>
                <w:rFonts w:hint="eastAsia" w:ascii="宋体" w:hAnsi="宋体" w:eastAsia="宋体" w:cs="宋体"/>
                <w:sz w:val="21"/>
                <w:szCs w:val="21"/>
                <w:lang w:val="en-US" w:eastAsia="zh-CN" w:bidi="ar"/>
              </w:rPr>
              <w:t>号</w:t>
            </w:r>
            <w:r>
              <w:rPr>
                <w:rFonts w:hint="eastAsia" w:ascii="宋体" w:hAnsi="宋体" w:eastAsia="宋体" w:cs="宋体"/>
                <w:i w:val="0"/>
                <w:iCs w:val="0"/>
                <w:color w:val="000000"/>
                <w:kern w:val="0"/>
                <w:sz w:val="21"/>
                <w:szCs w:val="21"/>
                <w:u w:val="none"/>
                <w:lang w:val="en-US" w:eastAsia="zh-CN" w:bidi="ar"/>
              </w:rPr>
              <w:t>1-8,2-8</w:t>
            </w:r>
            <w:r>
              <w:rPr>
                <w:rStyle w:val="15"/>
                <w:rFonts w:hint="eastAsia" w:ascii="宋体" w:hAnsi="宋体" w:eastAsia="宋体" w:cs="宋体"/>
                <w:sz w:val="21"/>
                <w:szCs w:val="21"/>
                <w:lang w:val="en-US" w:eastAsia="zh-CN" w:bidi="ar"/>
              </w:rPr>
              <w:t>室</w:t>
            </w:r>
          </w:p>
        </w:tc>
        <w:tc>
          <w:tcPr>
            <w:tcW w:w="855" w:type="dxa"/>
            <w:vMerge w:val="continue"/>
            <w:tcBorders>
              <w:left w:val="single" w:color="auto" w:sz="4" w:space="0"/>
              <w:right w:val="single" w:color="auto" w:sz="4" w:space="0"/>
            </w:tcBorders>
            <w:noWrap w:val="0"/>
            <w:vAlign w:val="center"/>
          </w:tcPr>
          <w:p w14:paraId="0A880552">
            <w:pPr>
              <w:widowControl/>
              <w:jc w:val="center"/>
              <w:rPr>
                <w:rFonts w:hint="eastAsia" w:ascii="宋体" w:hAnsi="宋体" w:eastAsia="宋体" w:cs="宋体"/>
                <w:color w:val="000000"/>
                <w:kern w:val="0"/>
                <w:sz w:val="21"/>
                <w:szCs w:val="21"/>
                <w:highlight w:val="none"/>
                <w:lang w:val="en-US" w:eastAsia="zh-CN"/>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7EE6FE67">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199.50</w:t>
            </w:r>
          </w:p>
        </w:tc>
        <w:tc>
          <w:tcPr>
            <w:tcW w:w="1274" w:type="dxa"/>
            <w:vMerge w:val="continue"/>
            <w:tcBorders>
              <w:left w:val="single" w:color="auto" w:sz="4" w:space="0"/>
              <w:right w:val="single" w:color="auto" w:sz="4" w:space="0"/>
            </w:tcBorders>
            <w:noWrap w:val="0"/>
            <w:vAlign w:val="center"/>
          </w:tcPr>
          <w:p w14:paraId="50BDCDFD">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tcBorders>
              <w:left w:val="single" w:color="auto" w:sz="4" w:space="0"/>
              <w:right w:val="single" w:color="auto" w:sz="4" w:space="0"/>
            </w:tcBorders>
            <w:noWrap w:val="0"/>
            <w:vAlign w:val="center"/>
          </w:tcPr>
          <w:p w14:paraId="0ABAC053">
            <w:pPr>
              <w:widowControl/>
              <w:jc w:val="center"/>
              <w:rPr>
                <w:rFonts w:hint="eastAsia" w:ascii="宋体" w:hAnsi="宋体" w:eastAsia="宋体" w:cs="宋体"/>
                <w:color w:val="000000"/>
                <w:kern w:val="0"/>
                <w:sz w:val="21"/>
                <w:szCs w:val="21"/>
                <w:highlight w:val="none"/>
                <w:lang w:val="en-US"/>
              </w:rPr>
            </w:pPr>
          </w:p>
        </w:tc>
        <w:tc>
          <w:tcPr>
            <w:tcW w:w="1060" w:type="dxa"/>
            <w:vMerge w:val="continue"/>
            <w:tcBorders>
              <w:left w:val="single" w:color="auto" w:sz="4" w:space="0"/>
              <w:right w:val="single" w:color="auto" w:sz="4" w:space="0"/>
            </w:tcBorders>
            <w:noWrap w:val="0"/>
            <w:vAlign w:val="center"/>
          </w:tcPr>
          <w:p w14:paraId="3E717997">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tcBorders>
              <w:left w:val="single" w:color="auto" w:sz="4" w:space="0"/>
              <w:right w:val="single" w:color="auto" w:sz="4" w:space="0"/>
            </w:tcBorders>
            <w:noWrap w:val="0"/>
            <w:vAlign w:val="center"/>
          </w:tcPr>
          <w:p w14:paraId="0D6DFA25">
            <w:pPr>
              <w:widowControl/>
              <w:jc w:val="center"/>
              <w:textAlignment w:val="center"/>
              <w:rPr>
                <w:rFonts w:hint="eastAsia" w:ascii="宋体" w:hAnsi="宋体" w:eastAsia="宋体" w:cs="宋体"/>
                <w:color w:val="000000"/>
                <w:kern w:val="0"/>
                <w:sz w:val="21"/>
                <w:szCs w:val="21"/>
                <w:highlight w:val="none"/>
              </w:rPr>
            </w:pPr>
          </w:p>
        </w:tc>
      </w:tr>
      <w:tr w14:paraId="62DCC3F3">
        <w:tblPrEx>
          <w:tblCellMar>
            <w:top w:w="0" w:type="dxa"/>
            <w:left w:w="108" w:type="dxa"/>
            <w:bottom w:w="0" w:type="dxa"/>
            <w:right w:w="108" w:type="dxa"/>
          </w:tblCellMar>
        </w:tblPrEx>
        <w:trPr>
          <w:trHeight w:val="1208" w:hRule="atLeast"/>
        </w:trPr>
        <w:tc>
          <w:tcPr>
            <w:tcW w:w="656" w:type="dxa"/>
            <w:vMerge w:val="continue"/>
            <w:tcBorders>
              <w:left w:val="single" w:color="auto" w:sz="4" w:space="0"/>
              <w:right w:val="single" w:color="auto" w:sz="4" w:space="0"/>
            </w:tcBorders>
            <w:noWrap w:val="0"/>
            <w:vAlign w:val="center"/>
          </w:tcPr>
          <w:p w14:paraId="60FB0F36">
            <w:pPr>
              <w:widowControl/>
              <w:jc w:val="center"/>
              <w:rPr>
                <w:rFonts w:hint="eastAsia" w:ascii="宋体" w:hAnsi="宋体" w:eastAsia="宋体" w:cs="宋体"/>
                <w:color w:val="000000"/>
                <w:kern w:val="0"/>
                <w:sz w:val="21"/>
                <w:szCs w:val="21"/>
                <w:highlight w:val="none"/>
              </w:rPr>
            </w:pPr>
          </w:p>
        </w:tc>
        <w:tc>
          <w:tcPr>
            <w:tcW w:w="2571" w:type="dxa"/>
            <w:tcBorders>
              <w:top w:val="single" w:color="auto" w:sz="4" w:space="0"/>
              <w:left w:val="single" w:color="auto" w:sz="4" w:space="0"/>
              <w:bottom w:val="single" w:color="auto" w:sz="4" w:space="0"/>
              <w:right w:val="single" w:color="auto" w:sz="4" w:space="0"/>
            </w:tcBorders>
            <w:noWrap w:val="0"/>
            <w:vAlign w:val="center"/>
          </w:tcPr>
          <w:p w14:paraId="10739FEE">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镇海区蛟川街道东港河B地块东信东路260</w:t>
            </w:r>
            <w:r>
              <w:rPr>
                <w:rStyle w:val="13"/>
                <w:rFonts w:hint="eastAsia" w:ascii="宋体" w:hAnsi="宋体" w:eastAsia="宋体" w:cs="宋体"/>
                <w:sz w:val="21"/>
                <w:szCs w:val="21"/>
                <w:lang w:val="en-US" w:eastAsia="zh-CN" w:bidi="ar"/>
              </w:rPr>
              <w:t>号</w:t>
            </w:r>
            <w:r>
              <w:rPr>
                <w:rFonts w:hint="eastAsia" w:ascii="宋体" w:hAnsi="宋体" w:eastAsia="宋体" w:cs="宋体"/>
                <w:i w:val="0"/>
                <w:iCs w:val="0"/>
                <w:color w:val="000000"/>
                <w:kern w:val="0"/>
                <w:sz w:val="21"/>
                <w:szCs w:val="21"/>
                <w:u w:val="none"/>
                <w:lang w:val="en-US" w:eastAsia="zh-CN" w:bidi="ar"/>
              </w:rPr>
              <w:t>1-1,2-1</w:t>
            </w:r>
            <w:r>
              <w:rPr>
                <w:rStyle w:val="15"/>
                <w:rFonts w:hint="eastAsia" w:ascii="宋体" w:hAnsi="宋体" w:eastAsia="宋体" w:cs="宋体"/>
                <w:sz w:val="21"/>
                <w:szCs w:val="21"/>
                <w:lang w:val="en-US" w:eastAsia="zh-CN" w:bidi="ar"/>
              </w:rPr>
              <w:t>室</w:t>
            </w:r>
          </w:p>
        </w:tc>
        <w:tc>
          <w:tcPr>
            <w:tcW w:w="855" w:type="dxa"/>
            <w:vMerge w:val="continue"/>
            <w:tcBorders>
              <w:left w:val="single" w:color="auto" w:sz="4" w:space="0"/>
              <w:right w:val="single" w:color="auto" w:sz="4" w:space="0"/>
            </w:tcBorders>
            <w:noWrap w:val="0"/>
            <w:vAlign w:val="center"/>
          </w:tcPr>
          <w:p w14:paraId="44CA484C">
            <w:pPr>
              <w:widowControl/>
              <w:jc w:val="center"/>
              <w:rPr>
                <w:rFonts w:hint="eastAsia" w:ascii="宋体" w:hAnsi="宋体" w:eastAsia="宋体" w:cs="宋体"/>
                <w:color w:val="000000"/>
                <w:kern w:val="0"/>
                <w:sz w:val="21"/>
                <w:szCs w:val="21"/>
                <w:highlight w:val="none"/>
                <w:lang w:val="en-US" w:eastAsia="zh-CN"/>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2D473D64">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128.74</w:t>
            </w:r>
          </w:p>
        </w:tc>
        <w:tc>
          <w:tcPr>
            <w:tcW w:w="1274" w:type="dxa"/>
            <w:vMerge w:val="continue"/>
            <w:tcBorders>
              <w:left w:val="single" w:color="auto" w:sz="4" w:space="0"/>
              <w:right w:val="single" w:color="auto" w:sz="4" w:space="0"/>
            </w:tcBorders>
            <w:noWrap w:val="0"/>
            <w:vAlign w:val="center"/>
          </w:tcPr>
          <w:p w14:paraId="03147F24">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tcBorders>
              <w:left w:val="single" w:color="auto" w:sz="4" w:space="0"/>
              <w:right w:val="single" w:color="auto" w:sz="4" w:space="0"/>
            </w:tcBorders>
            <w:noWrap w:val="0"/>
            <w:vAlign w:val="center"/>
          </w:tcPr>
          <w:p w14:paraId="036FC78E">
            <w:pPr>
              <w:widowControl/>
              <w:jc w:val="center"/>
              <w:rPr>
                <w:rFonts w:hint="eastAsia" w:ascii="宋体" w:hAnsi="宋体" w:eastAsia="宋体" w:cs="宋体"/>
                <w:color w:val="000000"/>
                <w:kern w:val="0"/>
                <w:sz w:val="21"/>
                <w:szCs w:val="21"/>
                <w:highlight w:val="none"/>
                <w:lang w:val="en-US"/>
              </w:rPr>
            </w:pPr>
          </w:p>
        </w:tc>
        <w:tc>
          <w:tcPr>
            <w:tcW w:w="1060" w:type="dxa"/>
            <w:vMerge w:val="continue"/>
            <w:tcBorders>
              <w:left w:val="single" w:color="auto" w:sz="4" w:space="0"/>
              <w:right w:val="single" w:color="auto" w:sz="4" w:space="0"/>
            </w:tcBorders>
            <w:noWrap w:val="0"/>
            <w:vAlign w:val="center"/>
          </w:tcPr>
          <w:p w14:paraId="3C88CA32">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tcBorders>
              <w:left w:val="single" w:color="auto" w:sz="4" w:space="0"/>
              <w:right w:val="single" w:color="auto" w:sz="4" w:space="0"/>
            </w:tcBorders>
            <w:noWrap w:val="0"/>
            <w:vAlign w:val="center"/>
          </w:tcPr>
          <w:p w14:paraId="7E470594">
            <w:pPr>
              <w:widowControl/>
              <w:jc w:val="center"/>
              <w:textAlignment w:val="center"/>
              <w:rPr>
                <w:rFonts w:hint="eastAsia" w:ascii="宋体" w:hAnsi="宋体" w:eastAsia="宋体" w:cs="宋体"/>
                <w:color w:val="000000"/>
                <w:kern w:val="0"/>
                <w:sz w:val="21"/>
                <w:szCs w:val="21"/>
                <w:highlight w:val="none"/>
              </w:rPr>
            </w:pPr>
          </w:p>
        </w:tc>
      </w:tr>
      <w:tr w14:paraId="3BB9F233">
        <w:tblPrEx>
          <w:tblCellMar>
            <w:top w:w="0" w:type="dxa"/>
            <w:left w:w="108" w:type="dxa"/>
            <w:bottom w:w="0" w:type="dxa"/>
            <w:right w:w="108" w:type="dxa"/>
          </w:tblCellMar>
        </w:tblPrEx>
        <w:trPr>
          <w:trHeight w:val="1208" w:hRule="atLeast"/>
        </w:trPr>
        <w:tc>
          <w:tcPr>
            <w:tcW w:w="656" w:type="dxa"/>
            <w:vMerge w:val="continue"/>
            <w:tcBorders>
              <w:left w:val="single" w:color="auto" w:sz="4" w:space="0"/>
              <w:right w:val="single" w:color="auto" w:sz="4" w:space="0"/>
            </w:tcBorders>
            <w:noWrap w:val="0"/>
            <w:vAlign w:val="center"/>
          </w:tcPr>
          <w:p w14:paraId="6B900951">
            <w:pPr>
              <w:widowControl/>
              <w:jc w:val="center"/>
              <w:rPr>
                <w:rFonts w:hint="eastAsia" w:ascii="宋体" w:hAnsi="宋体" w:eastAsia="宋体" w:cs="宋体"/>
                <w:color w:val="000000"/>
                <w:kern w:val="0"/>
                <w:sz w:val="21"/>
                <w:szCs w:val="21"/>
                <w:highlight w:val="none"/>
              </w:rPr>
            </w:pPr>
          </w:p>
        </w:tc>
        <w:tc>
          <w:tcPr>
            <w:tcW w:w="2571" w:type="dxa"/>
            <w:tcBorders>
              <w:top w:val="single" w:color="auto" w:sz="4" w:space="0"/>
              <w:left w:val="single" w:color="auto" w:sz="4" w:space="0"/>
              <w:bottom w:val="single" w:color="auto" w:sz="4" w:space="0"/>
              <w:right w:val="single" w:color="auto" w:sz="4" w:space="0"/>
            </w:tcBorders>
            <w:noWrap w:val="0"/>
            <w:vAlign w:val="center"/>
          </w:tcPr>
          <w:p w14:paraId="6FE48BFA">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镇海区蛟川街道东港河B地块东信东路262</w:t>
            </w:r>
            <w:r>
              <w:rPr>
                <w:rStyle w:val="13"/>
                <w:rFonts w:hint="eastAsia" w:ascii="宋体" w:hAnsi="宋体" w:eastAsia="宋体" w:cs="宋体"/>
                <w:sz w:val="21"/>
                <w:szCs w:val="21"/>
                <w:lang w:val="en-US" w:eastAsia="zh-CN" w:bidi="ar"/>
              </w:rPr>
              <w:t>号</w:t>
            </w:r>
            <w:r>
              <w:rPr>
                <w:rFonts w:hint="eastAsia" w:ascii="宋体" w:hAnsi="宋体" w:eastAsia="宋体" w:cs="宋体"/>
                <w:i w:val="0"/>
                <w:iCs w:val="0"/>
                <w:color w:val="000000"/>
                <w:kern w:val="0"/>
                <w:sz w:val="21"/>
                <w:szCs w:val="21"/>
                <w:u w:val="none"/>
                <w:lang w:val="en-US" w:eastAsia="zh-CN" w:bidi="ar"/>
              </w:rPr>
              <w:t>1-2,2-2</w:t>
            </w:r>
            <w:r>
              <w:rPr>
                <w:rStyle w:val="15"/>
                <w:rFonts w:hint="eastAsia" w:ascii="宋体" w:hAnsi="宋体" w:eastAsia="宋体" w:cs="宋体"/>
                <w:sz w:val="21"/>
                <w:szCs w:val="21"/>
                <w:lang w:val="en-US" w:eastAsia="zh-CN" w:bidi="ar"/>
              </w:rPr>
              <w:t>室</w:t>
            </w:r>
          </w:p>
        </w:tc>
        <w:tc>
          <w:tcPr>
            <w:tcW w:w="855" w:type="dxa"/>
            <w:vMerge w:val="continue"/>
            <w:tcBorders>
              <w:left w:val="single" w:color="auto" w:sz="4" w:space="0"/>
              <w:right w:val="single" w:color="auto" w:sz="4" w:space="0"/>
            </w:tcBorders>
            <w:noWrap w:val="0"/>
            <w:vAlign w:val="center"/>
          </w:tcPr>
          <w:p w14:paraId="781DD21D">
            <w:pPr>
              <w:widowControl/>
              <w:jc w:val="center"/>
              <w:rPr>
                <w:rFonts w:hint="eastAsia" w:ascii="宋体" w:hAnsi="宋体" w:eastAsia="宋体" w:cs="宋体"/>
                <w:color w:val="000000"/>
                <w:kern w:val="0"/>
                <w:sz w:val="21"/>
                <w:szCs w:val="21"/>
                <w:highlight w:val="none"/>
                <w:lang w:val="en-US" w:eastAsia="zh-CN"/>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56F91E49">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78.01</w:t>
            </w:r>
          </w:p>
        </w:tc>
        <w:tc>
          <w:tcPr>
            <w:tcW w:w="1274" w:type="dxa"/>
            <w:vMerge w:val="continue"/>
            <w:tcBorders>
              <w:left w:val="single" w:color="auto" w:sz="4" w:space="0"/>
              <w:right w:val="single" w:color="auto" w:sz="4" w:space="0"/>
            </w:tcBorders>
            <w:noWrap w:val="0"/>
            <w:vAlign w:val="center"/>
          </w:tcPr>
          <w:p w14:paraId="02A2A413">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tcBorders>
              <w:left w:val="single" w:color="auto" w:sz="4" w:space="0"/>
              <w:right w:val="single" w:color="auto" w:sz="4" w:space="0"/>
            </w:tcBorders>
            <w:noWrap w:val="0"/>
            <w:vAlign w:val="center"/>
          </w:tcPr>
          <w:p w14:paraId="44C5DE07">
            <w:pPr>
              <w:widowControl/>
              <w:jc w:val="center"/>
              <w:rPr>
                <w:rFonts w:hint="eastAsia" w:ascii="宋体" w:hAnsi="宋体" w:eastAsia="宋体" w:cs="宋体"/>
                <w:color w:val="000000"/>
                <w:kern w:val="0"/>
                <w:sz w:val="21"/>
                <w:szCs w:val="21"/>
                <w:highlight w:val="none"/>
                <w:lang w:val="en-US"/>
              </w:rPr>
            </w:pPr>
          </w:p>
        </w:tc>
        <w:tc>
          <w:tcPr>
            <w:tcW w:w="1060" w:type="dxa"/>
            <w:vMerge w:val="continue"/>
            <w:tcBorders>
              <w:left w:val="single" w:color="auto" w:sz="4" w:space="0"/>
              <w:right w:val="single" w:color="auto" w:sz="4" w:space="0"/>
            </w:tcBorders>
            <w:noWrap w:val="0"/>
            <w:vAlign w:val="center"/>
          </w:tcPr>
          <w:p w14:paraId="5C6D491C">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tcBorders>
              <w:left w:val="single" w:color="auto" w:sz="4" w:space="0"/>
              <w:right w:val="single" w:color="auto" w:sz="4" w:space="0"/>
            </w:tcBorders>
            <w:noWrap w:val="0"/>
            <w:vAlign w:val="center"/>
          </w:tcPr>
          <w:p w14:paraId="7F5B689D">
            <w:pPr>
              <w:widowControl/>
              <w:jc w:val="center"/>
              <w:textAlignment w:val="center"/>
              <w:rPr>
                <w:rFonts w:hint="eastAsia" w:ascii="宋体" w:hAnsi="宋体" w:eastAsia="宋体" w:cs="宋体"/>
                <w:color w:val="000000"/>
                <w:kern w:val="0"/>
                <w:sz w:val="21"/>
                <w:szCs w:val="21"/>
                <w:highlight w:val="none"/>
              </w:rPr>
            </w:pPr>
          </w:p>
        </w:tc>
      </w:tr>
      <w:tr w14:paraId="2E8C1AEE">
        <w:tblPrEx>
          <w:tblCellMar>
            <w:top w:w="0" w:type="dxa"/>
            <w:left w:w="108" w:type="dxa"/>
            <w:bottom w:w="0" w:type="dxa"/>
            <w:right w:w="108" w:type="dxa"/>
          </w:tblCellMar>
        </w:tblPrEx>
        <w:trPr>
          <w:trHeight w:val="1208" w:hRule="atLeast"/>
        </w:trPr>
        <w:tc>
          <w:tcPr>
            <w:tcW w:w="656" w:type="dxa"/>
            <w:vMerge w:val="continue"/>
            <w:tcBorders>
              <w:left w:val="single" w:color="auto" w:sz="4" w:space="0"/>
              <w:right w:val="single" w:color="auto" w:sz="4" w:space="0"/>
            </w:tcBorders>
            <w:noWrap w:val="0"/>
            <w:vAlign w:val="center"/>
          </w:tcPr>
          <w:p w14:paraId="597DE8A5">
            <w:pPr>
              <w:widowControl/>
              <w:jc w:val="center"/>
              <w:rPr>
                <w:rFonts w:hint="eastAsia" w:ascii="宋体" w:hAnsi="宋体" w:eastAsia="宋体" w:cs="宋体"/>
                <w:color w:val="000000"/>
                <w:kern w:val="0"/>
                <w:sz w:val="21"/>
                <w:szCs w:val="21"/>
                <w:highlight w:val="none"/>
              </w:rPr>
            </w:pPr>
          </w:p>
        </w:tc>
        <w:tc>
          <w:tcPr>
            <w:tcW w:w="2571" w:type="dxa"/>
            <w:tcBorders>
              <w:top w:val="single" w:color="auto" w:sz="4" w:space="0"/>
              <w:left w:val="single" w:color="auto" w:sz="4" w:space="0"/>
              <w:bottom w:val="single" w:color="auto" w:sz="4" w:space="0"/>
              <w:right w:val="single" w:color="auto" w:sz="4" w:space="0"/>
            </w:tcBorders>
            <w:noWrap w:val="0"/>
            <w:vAlign w:val="center"/>
          </w:tcPr>
          <w:p w14:paraId="07D3E758">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镇海区蛟川街道东港河B地块东信东路266</w:t>
            </w:r>
            <w:r>
              <w:rPr>
                <w:rStyle w:val="13"/>
                <w:rFonts w:hint="eastAsia" w:ascii="宋体" w:hAnsi="宋体" w:eastAsia="宋体" w:cs="宋体"/>
                <w:sz w:val="21"/>
                <w:szCs w:val="21"/>
                <w:lang w:val="en-US" w:eastAsia="zh-CN" w:bidi="ar"/>
              </w:rPr>
              <w:t>号</w:t>
            </w:r>
            <w:r>
              <w:rPr>
                <w:rFonts w:hint="eastAsia" w:ascii="宋体" w:hAnsi="宋体" w:eastAsia="宋体" w:cs="宋体"/>
                <w:i w:val="0"/>
                <w:iCs w:val="0"/>
                <w:color w:val="000000"/>
                <w:kern w:val="0"/>
                <w:sz w:val="21"/>
                <w:szCs w:val="21"/>
                <w:u w:val="none"/>
                <w:lang w:val="en-US" w:eastAsia="zh-CN" w:bidi="ar"/>
              </w:rPr>
              <w:t>1-3</w:t>
            </w:r>
            <w:r>
              <w:rPr>
                <w:rStyle w:val="15"/>
                <w:rFonts w:hint="eastAsia" w:ascii="宋体" w:hAnsi="宋体" w:eastAsia="宋体" w:cs="宋体"/>
                <w:sz w:val="21"/>
                <w:szCs w:val="21"/>
                <w:lang w:val="en-US" w:eastAsia="zh-CN" w:bidi="ar"/>
              </w:rPr>
              <w:t>室</w:t>
            </w:r>
          </w:p>
        </w:tc>
        <w:tc>
          <w:tcPr>
            <w:tcW w:w="855" w:type="dxa"/>
            <w:vMerge w:val="continue"/>
            <w:tcBorders>
              <w:left w:val="single" w:color="auto" w:sz="4" w:space="0"/>
              <w:right w:val="single" w:color="auto" w:sz="4" w:space="0"/>
            </w:tcBorders>
            <w:noWrap w:val="0"/>
            <w:vAlign w:val="center"/>
          </w:tcPr>
          <w:p w14:paraId="370F38A1">
            <w:pPr>
              <w:widowControl/>
              <w:jc w:val="center"/>
              <w:rPr>
                <w:rFonts w:hint="eastAsia" w:ascii="宋体" w:hAnsi="宋体" w:eastAsia="宋体" w:cs="宋体"/>
                <w:color w:val="000000"/>
                <w:kern w:val="0"/>
                <w:sz w:val="21"/>
                <w:szCs w:val="21"/>
                <w:highlight w:val="none"/>
                <w:lang w:val="en-US" w:eastAsia="zh-CN"/>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4FE01ABA">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49.17</w:t>
            </w:r>
          </w:p>
        </w:tc>
        <w:tc>
          <w:tcPr>
            <w:tcW w:w="1274" w:type="dxa"/>
            <w:vMerge w:val="continue"/>
            <w:tcBorders>
              <w:left w:val="single" w:color="auto" w:sz="4" w:space="0"/>
              <w:right w:val="single" w:color="auto" w:sz="4" w:space="0"/>
            </w:tcBorders>
            <w:noWrap w:val="0"/>
            <w:vAlign w:val="center"/>
          </w:tcPr>
          <w:p w14:paraId="06EF9E0F">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tcBorders>
              <w:left w:val="single" w:color="auto" w:sz="4" w:space="0"/>
              <w:right w:val="single" w:color="auto" w:sz="4" w:space="0"/>
            </w:tcBorders>
            <w:noWrap w:val="0"/>
            <w:vAlign w:val="center"/>
          </w:tcPr>
          <w:p w14:paraId="4A5DB922">
            <w:pPr>
              <w:widowControl/>
              <w:jc w:val="center"/>
              <w:rPr>
                <w:rFonts w:hint="eastAsia" w:ascii="宋体" w:hAnsi="宋体" w:eastAsia="宋体" w:cs="宋体"/>
                <w:color w:val="000000"/>
                <w:kern w:val="0"/>
                <w:sz w:val="21"/>
                <w:szCs w:val="21"/>
                <w:highlight w:val="none"/>
                <w:lang w:val="en-US"/>
              </w:rPr>
            </w:pPr>
          </w:p>
        </w:tc>
        <w:tc>
          <w:tcPr>
            <w:tcW w:w="1060" w:type="dxa"/>
            <w:vMerge w:val="continue"/>
            <w:tcBorders>
              <w:left w:val="single" w:color="auto" w:sz="4" w:space="0"/>
              <w:right w:val="single" w:color="auto" w:sz="4" w:space="0"/>
            </w:tcBorders>
            <w:noWrap w:val="0"/>
            <w:vAlign w:val="center"/>
          </w:tcPr>
          <w:p w14:paraId="69EC348E">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tcBorders>
              <w:left w:val="single" w:color="auto" w:sz="4" w:space="0"/>
              <w:right w:val="single" w:color="auto" w:sz="4" w:space="0"/>
            </w:tcBorders>
            <w:noWrap w:val="0"/>
            <w:vAlign w:val="center"/>
          </w:tcPr>
          <w:p w14:paraId="2127B4A1">
            <w:pPr>
              <w:widowControl/>
              <w:jc w:val="center"/>
              <w:textAlignment w:val="center"/>
              <w:rPr>
                <w:rFonts w:hint="eastAsia" w:ascii="宋体" w:hAnsi="宋体" w:eastAsia="宋体" w:cs="宋体"/>
                <w:color w:val="000000"/>
                <w:kern w:val="0"/>
                <w:sz w:val="21"/>
                <w:szCs w:val="21"/>
                <w:highlight w:val="none"/>
              </w:rPr>
            </w:pPr>
          </w:p>
        </w:tc>
      </w:tr>
      <w:tr w14:paraId="0A296204">
        <w:tblPrEx>
          <w:tblCellMar>
            <w:top w:w="0" w:type="dxa"/>
            <w:left w:w="108" w:type="dxa"/>
            <w:bottom w:w="0" w:type="dxa"/>
            <w:right w:w="108" w:type="dxa"/>
          </w:tblCellMar>
        </w:tblPrEx>
        <w:trPr>
          <w:trHeight w:val="1208" w:hRule="atLeast"/>
        </w:trPr>
        <w:tc>
          <w:tcPr>
            <w:tcW w:w="656" w:type="dxa"/>
            <w:vMerge w:val="continue"/>
            <w:tcBorders>
              <w:left w:val="single" w:color="auto" w:sz="4" w:space="0"/>
              <w:right w:val="single" w:color="auto" w:sz="4" w:space="0"/>
            </w:tcBorders>
            <w:noWrap w:val="0"/>
            <w:vAlign w:val="center"/>
          </w:tcPr>
          <w:p w14:paraId="4E4B7989">
            <w:pPr>
              <w:widowControl/>
              <w:jc w:val="center"/>
              <w:rPr>
                <w:rFonts w:hint="eastAsia" w:ascii="宋体" w:hAnsi="宋体" w:eastAsia="宋体" w:cs="宋体"/>
                <w:color w:val="000000"/>
                <w:kern w:val="0"/>
                <w:sz w:val="21"/>
                <w:szCs w:val="21"/>
                <w:highlight w:val="none"/>
              </w:rPr>
            </w:pPr>
          </w:p>
        </w:tc>
        <w:tc>
          <w:tcPr>
            <w:tcW w:w="2571" w:type="dxa"/>
            <w:tcBorders>
              <w:top w:val="single" w:color="auto" w:sz="4" w:space="0"/>
              <w:left w:val="single" w:color="auto" w:sz="4" w:space="0"/>
              <w:bottom w:val="single" w:color="auto" w:sz="4" w:space="0"/>
              <w:right w:val="single" w:color="auto" w:sz="4" w:space="0"/>
            </w:tcBorders>
            <w:noWrap w:val="0"/>
            <w:vAlign w:val="center"/>
          </w:tcPr>
          <w:p w14:paraId="153DADDA">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镇海区蛟川街道东港河B地块东信东路268号1-4,2-4室</w:t>
            </w:r>
          </w:p>
        </w:tc>
        <w:tc>
          <w:tcPr>
            <w:tcW w:w="855" w:type="dxa"/>
            <w:vMerge w:val="continue"/>
            <w:tcBorders>
              <w:left w:val="single" w:color="auto" w:sz="4" w:space="0"/>
              <w:right w:val="single" w:color="auto" w:sz="4" w:space="0"/>
            </w:tcBorders>
            <w:noWrap w:val="0"/>
            <w:vAlign w:val="center"/>
          </w:tcPr>
          <w:p w14:paraId="45502939">
            <w:pPr>
              <w:widowControl/>
              <w:jc w:val="center"/>
              <w:rPr>
                <w:rFonts w:hint="eastAsia" w:ascii="宋体" w:hAnsi="宋体" w:eastAsia="宋体" w:cs="宋体"/>
                <w:color w:val="000000"/>
                <w:kern w:val="0"/>
                <w:sz w:val="21"/>
                <w:szCs w:val="21"/>
                <w:highlight w:val="none"/>
                <w:lang w:val="en-US" w:eastAsia="zh-CN"/>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5AF20E78">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75.70</w:t>
            </w:r>
          </w:p>
        </w:tc>
        <w:tc>
          <w:tcPr>
            <w:tcW w:w="1274" w:type="dxa"/>
            <w:vMerge w:val="continue"/>
            <w:tcBorders>
              <w:left w:val="single" w:color="auto" w:sz="4" w:space="0"/>
              <w:right w:val="single" w:color="auto" w:sz="4" w:space="0"/>
            </w:tcBorders>
            <w:noWrap w:val="0"/>
            <w:vAlign w:val="center"/>
          </w:tcPr>
          <w:p w14:paraId="0EDB93E5">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tcBorders>
              <w:left w:val="single" w:color="auto" w:sz="4" w:space="0"/>
              <w:right w:val="single" w:color="auto" w:sz="4" w:space="0"/>
            </w:tcBorders>
            <w:noWrap w:val="0"/>
            <w:vAlign w:val="center"/>
          </w:tcPr>
          <w:p w14:paraId="3EE1FBE3">
            <w:pPr>
              <w:widowControl/>
              <w:jc w:val="center"/>
              <w:rPr>
                <w:rFonts w:hint="eastAsia" w:ascii="宋体" w:hAnsi="宋体" w:eastAsia="宋体" w:cs="宋体"/>
                <w:color w:val="000000"/>
                <w:kern w:val="0"/>
                <w:sz w:val="21"/>
                <w:szCs w:val="21"/>
                <w:highlight w:val="none"/>
                <w:lang w:val="en-US"/>
              </w:rPr>
            </w:pPr>
          </w:p>
        </w:tc>
        <w:tc>
          <w:tcPr>
            <w:tcW w:w="1060" w:type="dxa"/>
            <w:vMerge w:val="continue"/>
            <w:tcBorders>
              <w:left w:val="single" w:color="auto" w:sz="4" w:space="0"/>
              <w:right w:val="single" w:color="auto" w:sz="4" w:space="0"/>
            </w:tcBorders>
            <w:noWrap w:val="0"/>
            <w:vAlign w:val="center"/>
          </w:tcPr>
          <w:p w14:paraId="7F7BF5B4">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tcBorders>
              <w:left w:val="single" w:color="auto" w:sz="4" w:space="0"/>
              <w:right w:val="single" w:color="auto" w:sz="4" w:space="0"/>
            </w:tcBorders>
            <w:noWrap w:val="0"/>
            <w:vAlign w:val="center"/>
          </w:tcPr>
          <w:p w14:paraId="486F83DF">
            <w:pPr>
              <w:widowControl/>
              <w:jc w:val="center"/>
              <w:textAlignment w:val="center"/>
              <w:rPr>
                <w:rFonts w:hint="eastAsia" w:ascii="宋体" w:hAnsi="宋体" w:eastAsia="宋体" w:cs="宋体"/>
                <w:color w:val="000000"/>
                <w:kern w:val="0"/>
                <w:sz w:val="21"/>
                <w:szCs w:val="21"/>
                <w:highlight w:val="none"/>
              </w:rPr>
            </w:pPr>
          </w:p>
        </w:tc>
      </w:tr>
      <w:tr w14:paraId="2D982107">
        <w:tblPrEx>
          <w:tblCellMar>
            <w:top w:w="0" w:type="dxa"/>
            <w:left w:w="108" w:type="dxa"/>
            <w:bottom w:w="0" w:type="dxa"/>
            <w:right w:w="108" w:type="dxa"/>
          </w:tblCellMar>
        </w:tblPrEx>
        <w:trPr>
          <w:trHeight w:val="1208" w:hRule="atLeast"/>
        </w:trPr>
        <w:tc>
          <w:tcPr>
            <w:tcW w:w="656" w:type="dxa"/>
            <w:vMerge w:val="continue"/>
            <w:tcBorders>
              <w:left w:val="single" w:color="auto" w:sz="4" w:space="0"/>
              <w:right w:val="single" w:color="auto" w:sz="4" w:space="0"/>
            </w:tcBorders>
            <w:noWrap w:val="0"/>
            <w:vAlign w:val="center"/>
          </w:tcPr>
          <w:p w14:paraId="2764B5A8">
            <w:pPr>
              <w:widowControl/>
              <w:jc w:val="center"/>
              <w:rPr>
                <w:rFonts w:hint="eastAsia" w:ascii="宋体" w:hAnsi="宋体" w:eastAsia="宋体" w:cs="宋体"/>
                <w:color w:val="000000"/>
                <w:kern w:val="0"/>
                <w:sz w:val="21"/>
                <w:szCs w:val="21"/>
                <w:highlight w:val="none"/>
              </w:rPr>
            </w:pPr>
          </w:p>
        </w:tc>
        <w:tc>
          <w:tcPr>
            <w:tcW w:w="2571" w:type="dxa"/>
            <w:tcBorders>
              <w:top w:val="single" w:color="auto" w:sz="4" w:space="0"/>
              <w:left w:val="single" w:color="auto" w:sz="4" w:space="0"/>
              <w:bottom w:val="single" w:color="auto" w:sz="4" w:space="0"/>
              <w:right w:val="single" w:color="auto" w:sz="4" w:space="0"/>
            </w:tcBorders>
            <w:noWrap w:val="0"/>
            <w:vAlign w:val="center"/>
          </w:tcPr>
          <w:p w14:paraId="78C97554">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镇海区蛟川街道东港河B地块东信东路270号1-5,2-5室</w:t>
            </w:r>
          </w:p>
        </w:tc>
        <w:tc>
          <w:tcPr>
            <w:tcW w:w="855" w:type="dxa"/>
            <w:vMerge w:val="continue"/>
            <w:tcBorders>
              <w:left w:val="single" w:color="auto" w:sz="4" w:space="0"/>
              <w:right w:val="single" w:color="auto" w:sz="4" w:space="0"/>
            </w:tcBorders>
            <w:noWrap w:val="0"/>
            <w:vAlign w:val="center"/>
          </w:tcPr>
          <w:p w14:paraId="117079ED">
            <w:pPr>
              <w:widowControl/>
              <w:jc w:val="center"/>
              <w:rPr>
                <w:rFonts w:hint="eastAsia" w:ascii="宋体" w:hAnsi="宋体" w:eastAsia="宋体" w:cs="宋体"/>
                <w:color w:val="000000"/>
                <w:kern w:val="0"/>
                <w:sz w:val="21"/>
                <w:szCs w:val="21"/>
                <w:highlight w:val="none"/>
                <w:lang w:val="en-US" w:eastAsia="zh-CN"/>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7C667BD0">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72.38</w:t>
            </w:r>
          </w:p>
        </w:tc>
        <w:tc>
          <w:tcPr>
            <w:tcW w:w="1274" w:type="dxa"/>
            <w:vMerge w:val="continue"/>
            <w:tcBorders>
              <w:left w:val="single" w:color="auto" w:sz="4" w:space="0"/>
              <w:right w:val="single" w:color="auto" w:sz="4" w:space="0"/>
            </w:tcBorders>
            <w:noWrap w:val="0"/>
            <w:vAlign w:val="center"/>
          </w:tcPr>
          <w:p w14:paraId="34073639">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tcBorders>
              <w:left w:val="single" w:color="auto" w:sz="4" w:space="0"/>
              <w:right w:val="single" w:color="auto" w:sz="4" w:space="0"/>
            </w:tcBorders>
            <w:noWrap w:val="0"/>
            <w:vAlign w:val="center"/>
          </w:tcPr>
          <w:p w14:paraId="3549803B">
            <w:pPr>
              <w:widowControl/>
              <w:jc w:val="center"/>
              <w:rPr>
                <w:rFonts w:hint="eastAsia" w:ascii="宋体" w:hAnsi="宋体" w:eastAsia="宋体" w:cs="宋体"/>
                <w:color w:val="000000"/>
                <w:kern w:val="0"/>
                <w:sz w:val="21"/>
                <w:szCs w:val="21"/>
                <w:highlight w:val="none"/>
                <w:lang w:val="en-US"/>
              </w:rPr>
            </w:pPr>
          </w:p>
        </w:tc>
        <w:tc>
          <w:tcPr>
            <w:tcW w:w="1060" w:type="dxa"/>
            <w:vMerge w:val="continue"/>
            <w:tcBorders>
              <w:left w:val="single" w:color="auto" w:sz="4" w:space="0"/>
              <w:right w:val="single" w:color="auto" w:sz="4" w:space="0"/>
            </w:tcBorders>
            <w:noWrap w:val="0"/>
            <w:vAlign w:val="center"/>
          </w:tcPr>
          <w:p w14:paraId="5531AA48">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tcBorders>
              <w:left w:val="single" w:color="auto" w:sz="4" w:space="0"/>
              <w:right w:val="single" w:color="auto" w:sz="4" w:space="0"/>
            </w:tcBorders>
            <w:noWrap w:val="0"/>
            <w:vAlign w:val="center"/>
          </w:tcPr>
          <w:p w14:paraId="7516AB77">
            <w:pPr>
              <w:widowControl/>
              <w:jc w:val="center"/>
              <w:textAlignment w:val="center"/>
              <w:rPr>
                <w:rFonts w:hint="eastAsia" w:ascii="宋体" w:hAnsi="宋体" w:eastAsia="宋体" w:cs="宋体"/>
                <w:color w:val="000000"/>
                <w:kern w:val="0"/>
                <w:sz w:val="21"/>
                <w:szCs w:val="21"/>
                <w:highlight w:val="none"/>
              </w:rPr>
            </w:pPr>
          </w:p>
        </w:tc>
      </w:tr>
      <w:tr w14:paraId="5D485C8A">
        <w:tblPrEx>
          <w:tblCellMar>
            <w:top w:w="0" w:type="dxa"/>
            <w:left w:w="108" w:type="dxa"/>
            <w:bottom w:w="0" w:type="dxa"/>
            <w:right w:w="108" w:type="dxa"/>
          </w:tblCellMar>
        </w:tblPrEx>
        <w:trPr>
          <w:trHeight w:val="1208" w:hRule="atLeast"/>
        </w:trPr>
        <w:tc>
          <w:tcPr>
            <w:tcW w:w="656" w:type="dxa"/>
            <w:vMerge w:val="continue"/>
            <w:tcBorders>
              <w:left w:val="single" w:color="auto" w:sz="4" w:space="0"/>
              <w:right w:val="single" w:color="auto" w:sz="4" w:space="0"/>
            </w:tcBorders>
            <w:noWrap w:val="0"/>
            <w:vAlign w:val="center"/>
          </w:tcPr>
          <w:p w14:paraId="4D4257E4">
            <w:pPr>
              <w:widowControl/>
              <w:jc w:val="center"/>
              <w:rPr>
                <w:rFonts w:hint="eastAsia" w:ascii="宋体" w:hAnsi="宋体" w:eastAsia="宋体" w:cs="宋体"/>
                <w:color w:val="000000"/>
                <w:kern w:val="0"/>
                <w:sz w:val="21"/>
                <w:szCs w:val="21"/>
                <w:highlight w:val="none"/>
              </w:rPr>
            </w:pPr>
          </w:p>
        </w:tc>
        <w:tc>
          <w:tcPr>
            <w:tcW w:w="2571" w:type="dxa"/>
            <w:tcBorders>
              <w:top w:val="single" w:color="auto" w:sz="4" w:space="0"/>
              <w:left w:val="single" w:color="auto" w:sz="4" w:space="0"/>
              <w:bottom w:val="single" w:color="auto" w:sz="4" w:space="0"/>
              <w:right w:val="single" w:color="auto" w:sz="4" w:space="0"/>
            </w:tcBorders>
            <w:noWrap w:val="0"/>
            <w:vAlign w:val="center"/>
          </w:tcPr>
          <w:p w14:paraId="72DA4094">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镇海区蛟川街道东港河B地块东信东路274号1-6,2-6室</w:t>
            </w:r>
          </w:p>
        </w:tc>
        <w:tc>
          <w:tcPr>
            <w:tcW w:w="855" w:type="dxa"/>
            <w:vMerge w:val="continue"/>
            <w:tcBorders>
              <w:left w:val="single" w:color="auto" w:sz="4" w:space="0"/>
              <w:right w:val="single" w:color="auto" w:sz="4" w:space="0"/>
            </w:tcBorders>
            <w:noWrap w:val="0"/>
            <w:vAlign w:val="center"/>
          </w:tcPr>
          <w:p w14:paraId="634E95C0">
            <w:pPr>
              <w:widowControl/>
              <w:jc w:val="center"/>
              <w:rPr>
                <w:rFonts w:hint="eastAsia" w:ascii="宋体" w:hAnsi="宋体" w:eastAsia="宋体" w:cs="宋体"/>
                <w:color w:val="000000"/>
                <w:kern w:val="0"/>
                <w:sz w:val="21"/>
                <w:szCs w:val="21"/>
                <w:highlight w:val="none"/>
                <w:lang w:val="en-US" w:eastAsia="zh-CN"/>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6B4BEEFD">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84.18</w:t>
            </w:r>
          </w:p>
        </w:tc>
        <w:tc>
          <w:tcPr>
            <w:tcW w:w="1274" w:type="dxa"/>
            <w:vMerge w:val="continue"/>
            <w:tcBorders>
              <w:left w:val="single" w:color="auto" w:sz="4" w:space="0"/>
              <w:right w:val="single" w:color="auto" w:sz="4" w:space="0"/>
            </w:tcBorders>
            <w:noWrap w:val="0"/>
            <w:vAlign w:val="center"/>
          </w:tcPr>
          <w:p w14:paraId="0E54BDC1">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tcBorders>
              <w:left w:val="single" w:color="auto" w:sz="4" w:space="0"/>
              <w:right w:val="single" w:color="auto" w:sz="4" w:space="0"/>
            </w:tcBorders>
            <w:noWrap w:val="0"/>
            <w:vAlign w:val="center"/>
          </w:tcPr>
          <w:p w14:paraId="0651CF8C">
            <w:pPr>
              <w:widowControl/>
              <w:jc w:val="center"/>
              <w:rPr>
                <w:rFonts w:hint="eastAsia" w:ascii="宋体" w:hAnsi="宋体" w:eastAsia="宋体" w:cs="宋体"/>
                <w:color w:val="000000"/>
                <w:kern w:val="0"/>
                <w:sz w:val="21"/>
                <w:szCs w:val="21"/>
                <w:highlight w:val="none"/>
                <w:lang w:val="en-US"/>
              </w:rPr>
            </w:pPr>
          </w:p>
        </w:tc>
        <w:tc>
          <w:tcPr>
            <w:tcW w:w="1060" w:type="dxa"/>
            <w:vMerge w:val="continue"/>
            <w:tcBorders>
              <w:left w:val="single" w:color="auto" w:sz="4" w:space="0"/>
              <w:right w:val="single" w:color="auto" w:sz="4" w:space="0"/>
            </w:tcBorders>
            <w:noWrap w:val="0"/>
            <w:vAlign w:val="center"/>
          </w:tcPr>
          <w:p w14:paraId="47C018AE">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tcBorders>
              <w:left w:val="single" w:color="auto" w:sz="4" w:space="0"/>
              <w:right w:val="single" w:color="auto" w:sz="4" w:space="0"/>
            </w:tcBorders>
            <w:noWrap w:val="0"/>
            <w:vAlign w:val="center"/>
          </w:tcPr>
          <w:p w14:paraId="22544EA5">
            <w:pPr>
              <w:widowControl/>
              <w:jc w:val="center"/>
              <w:textAlignment w:val="center"/>
              <w:rPr>
                <w:rFonts w:hint="eastAsia" w:ascii="宋体" w:hAnsi="宋体" w:eastAsia="宋体" w:cs="宋体"/>
                <w:color w:val="000000"/>
                <w:kern w:val="0"/>
                <w:sz w:val="21"/>
                <w:szCs w:val="21"/>
                <w:highlight w:val="none"/>
              </w:rPr>
            </w:pPr>
          </w:p>
        </w:tc>
      </w:tr>
      <w:tr w14:paraId="5FF91C56">
        <w:tblPrEx>
          <w:tblCellMar>
            <w:top w:w="0" w:type="dxa"/>
            <w:left w:w="108" w:type="dxa"/>
            <w:bottom w:w="0" w:type="dxa"/>
            <w:right w:w="108" w:type="dxa"/>
          </w:tblCellMar>
        </w:tblPrEx>
        <w:trPr>
          <w:trHeight w:val="1208" w:hRule="atLeast"/>
        </w:trPr>
        <w:tc>
          <w:tcPr>
            <w:tcW w:w="656" w:type="dxa"/>
            <w:vMerge w:val="continue"/>
            <w:tcBorders>
              <w:left w:val="single" w:color="auto" w:sz="4" w:space="0"/>
              <w:right w:val="single" w:color="auto" w:sz="4" w:space="0"/>
            </w:tcBorders>
            <w:noWrap w:val="0"/>
            <w:vAlign w:val="center"/>
          </w:tcPr>
          <w:p w14:paraId="43C06510">
            <w:pPr>
              <w:widowControl/>
              <w:jc w:val="center"/>
              <w:rPr>
                <w:rFonts w:hint="eastAsia" w:ascii="宋体" w:hAnsi="宋体" w:eastAsia="宋体" w:cs="宋体"/>
                <w:color w:val="000000"/>
                <w:kern w:val="0"/>
                <w:sz w:val="21"/>
                <w:szCs w:val="21"/>
                <w:highlight w:val="none"/>
              </w:rPr>
            </w:pPr>
          </w:p>
        </w:tc>
        <w:tc>
          <w:tcPr>
            <w:tcW w:w="2571" w:type="dxa"/>
            <w:tcBorders>
              <w:top w:val="single" w:color="auto" w:sz="4" w:space="0"/>
              <w:left w:val="single" w:color="auto" w:sz="4" w:space="0"/>
              <w:bottom w:val="single" w:color="auto" w:sz="4" w:space="0"/>
              <w:right w:val="single" w:color="auto" w:sz="4" w:space="0"/>
            </w:tcBorders>
            <w:noWrap w:val="0"/>
            <w:vAlign w:val="center"/>
          </w:tcPr>
          <w:p w14:paraId="7353DE0D">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镇海区蛟川街道东港河B地块东信东路276号1-7,2-7室</w:t>
            </w:r>
          </w:p>
        </w:tc>
        <w:tc>
          <w:tcPr>
            <w:tcW w:w="855" w:type="dxa"/>
            <w:vMerge w:val="continue"/>
            <w:tcBorders>
              <w:left w:val="single" w:color="auto" w:sz="4" w:space="0"/>
              <w:right w:val="single" w:color="auto" w:sz="4" w:space="0"/>
            </w:tcBorders>
            <w:noWrap w:val="0"/>
            <w:vAlign w:val="center"/>
          </w:tcPr>
          <w:p w14:paraId="625A88F2">
            <w:pPr>
              <w:widowControl/>
              <w:jc w:val="center"/>
              <w:rPr>
                <w:rFonts w:hint="eastAsia" w:ascii="宋体" w:hAnsi="宋体" w:eastAsia="宋体" w:cs="宋体"/>
                <w:color w:val="000000"/>
                <w:kern w:val="0"/>
                <w:sz w:val="21"/>
                <w:szCs w:val="21"/>
                <w:highlight w:val="none"/>
                <w:lang w:val="en-US" w:eastAsia="zh-CN"/>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68D3C0C4">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72.86</w:t>
            </w:r>
          </w:p>
        </w:tc>
        <w:tc>
          <w:tcPr>
            <w:tcW w:w="1274" w:type="dxa"/>
            <w:vMerge w:val="continue"/>
            <w:tcBorders>
              <w:left w:val="single" w:color="auto" w:sz="4" w:space="0"/>
              <w:right w:val="single" w:color="auto" w:sz="4" w:space="0"/>
            </w:tcBorders>
            <w:noWrap w:val="0"/>
            <w:vAlign w:val="center"/>
          </w:tcPr>
          <w:p w14:paraId="6D5A330F">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tcBorders>
              <w:left w:val="single" w:color="auto" w:sz="4" w:space="0"/>
              <w:right w:val="single" w:color="auto" w:sz="4" w:space="0"/>
            </w:tcBorders>
            <w:noWrap w:val="0"/>
            <w:vAlign w:val="center"/>
          </w:tcPr>
          <w:p w14:paraId="19BA80A8">
            <w:pPr>
              <w:widowControl/>
              <w:jc w:val="center"/>
              <w:rPr>
                <w:rFonts w:hint="eastAsia" w:ascii="宋体" w:hAnsi="宋体" w:eastAsia="宋体" w:cs="宋体"/>
                <w:color w:val="000000"/>
                <w:kern w:val="0"/>
                <w:sz w:val="21"/>
                <w:szCs w:val="21"/>
                <w:highlight w:val="none"/>
                <w:lang w:val="en-US"/>
              </w:rPr>
            </w:pPr>
          </w:p>
        </w:tc>
        <w:tc>
          <w:tcPr>
            <w:tcW w:w="1060" w:type="dxa"/>
            <w:vMerge w:val="continue"/>
            <w:tcBorders>
              <w:left w:val="single" w:color="auto" w:sz="4" w:space="0"/>
              <w:right w:val="single" w:color="auto" w:sz="4" w:space="0"/>
            </w:tcBorders>
            <w:noWrap w:val="0"/>
            <w:vAlign w:val="center"/>
          </w:tcPr>
          <w:p w14:paraId="042488E4">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tcBorders>
              <w:left w:val="single" w:color="auto" w:sz="4" w:space="0"/>
              <w:right w:val="single" w:color="auto" w:sz="4" w:space="0"/>
            </w:tcBorders>
            <w:noWrap w:val="0"/>
            <w:vAlign w:val="center"/>
          </w:tcPr>
          <w:p w14:paraId="20442368">
            <w:pPr>
              <w:widowControl/>
              <w:jc w:val="center"/>
              <w:textAlignment w:val="center"/>
              <w:rPr>
                <w:rFonts w:hint="eastAsia" w:ascii="宋体" w:hAnsi="宋体" w:eastAsia="宋体" w:cs="宋体"/>
                <w:color w:val="000000"/>
                <w:kern w:val="0"/>
                <w:sz w:val="21"/>
                <w:szCs w:val="21"/>
                <w:highlight w:val="none"/>
              </w:rPr>
            </w:pPr>
          </w:p>
        </w:tc>
      </w:tr>
      <w:tr w14:paraId="388955C7">
        <w:tblPrEx>
          <w:tblCellMar>
            <w:top w:w="0" w:type="dxa"/>
            <w:left w:w="108" w:type="dxa"/>
            <w:bottom w:w="0" w:type="dxa"/>
            <w:right w:w="108" w:type="dxa"/>
          </w:tblCellMar>
        </w:tblPrEx>
        <w:trPr>
          <w:trHeight w:val="1208" w:hRule="atLeast"/>
        </w:trPr>
        <w:tc>
          <w:tcPr>
            <w:tcW w:w="656" w:type="dxa"/>
            <w:vMerge w:val="continue"/>
            <w:tcBorders>
              <w:left w:val="single" w:color="auto" w:sz="4" w:space="0"/>
              <w:right w:val="single" w:color="auto" w:sz="4" w:space="0"/>
            </w:tcBorders>
            <w:noWrap w:val="0"/>
            <w:vAlign w:val="center"/>
          </w:tcPr>
          <w:p w14:paraId="5AEC249B">
            <w:pPr>
              <w:widowControl/>
              <w:jc w:val="center"/>
              <w:rPr>
                <w:rFonts w:hint="eastAsia" w:ascii="宋体" w:hAnsi="宋体" w:eastAsia="宋体" w:cs="宋体"/>
                <w:color w:val="000000"/>
                <w:kern w:val="0"/>
                <w:sz w:val="21"/>
                <w:szCs w:val="21"/>
                <w:highlight w:val="none"/>
              </w:rPr>
            </w:pPr>
          </w:p>
        </w:tc>
        <w:tc>
          <w:tcPr>
            <w:tcW w:w="2571" w:type="dxa"/>
            <w:tcBorders>
              <w:top w:val="single" w:color="auto" w:sz="4" w:space="0"/>
              <w:left w:val="single" w:color="auto" w:sz="4" w:space="0"/>
              <w:bottom w:val="single" w:color="auto" w:sz="4" w:space="0"/>
              <w:right w:val="single" w:color="auto" w:sz="4" w:space="0"/>
            </w:tcBorders>
            <w:noWrap w:val="0"/>
            <w:vAlign w:val="center"/>
          </w:tcPr>
          <w:p w14:paraId="50F1710A">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镇海区蛟川街道东港河B地块东信东路278号1-8,2-8室</w:t>
            </w:r>
          </w:p>
        </w:tc>
        <w:tc>
          <w:tcPr>
            <w:tcW w:w="855" w:type="dxa"/>
            <w:vMerge w:val="continue"/>
            <w:tcBorders>
              <w:left w:val="single" w:color="auto" w:sz="4" w:space="0"/>
              <w:right w:val="single" w:color="auto" w:sz="4" w:space="0"/>
            </w:tcBorders>
            <w:noWrap w:val="0"/>
            <w:vAlign w:val="center"/>
          </w:tcPr>
          <w:p w14:paraId="7C8AFB35">
            <w:pPr>
              <w:widowControl/>
              <w:jc w:val="center"/>
              <w:rPr>
                <w:rFonts w:hint="eastAsia" w:ascii="宋体" w:hAnsi="宋体" w:eastAsia="宋体" w:cs="宋体"/>
                <w:color w:val="000000"/>
                <w:kern w:val="0"/>
                <w:sz w:val="21"/>
                <w:szCs w:val="21"/>
                <w:highlight w:val="none"/>
                <w:lang w:val="en-US" w:eastAsia="zh-CN"/>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3903A7A5">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74.54</w:t>
            </w:r>
          </w:p>
        </w:tc>
        <w:tc>
          <w:tcPr>
            <w:tcW w:w="1274" w:type="dxa"/>
            <w:vMerge w:val="continue"/>
            <w:tcBorders>
              <w:left w:val="single" w:color="auto" w:sz="4" w:space="0"/>
              <w:right w:val="single" w:color="auto" w:sz="4" w:space="0"/>
            </w:tcBorders>
            <w:noWrap w:val="0"/>
            <w:vAlign w:val="center"/>
          </w:tcPr>
          <w:p w14:paraId="2049B716">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tcBorders>
              <w:left w:val="single" w:color="auto" w:sz="4" w:space="0"/>
              <w:right w:val="single" w:color="auto" w:sz="4" w:space="0"/>
            </w:tcBorders>
            <w:noWrap w:val="0"/>
            <w:vAlign w:val="center"/>
          </w:tcPr>
          <w:p w14:paraId="2AE40D58">
            <w:pPr>
              <w:widowControl/>
              <w:jc w:val="center"/>
              <w:rPr>
                <w:rFonts w:hint="eastAsia" w:ascii="宋体" w:hAnsi="宋体" w:eastAsia="宋体" w:cs="宋体"/>
                <w:color w:val="000000"/>
                <w:kern w:val="0"/>
                <w:sz w:val="21"/>
                <w:szCs w:val="21"/>
                <w:highlight w:val="none"/>
                <w:lang w:val="en-US"/>
              </w:rPr>
            </w:pPr>
          </w:p>
        </w:tc>
        <w:tc>
          <w:tcPr>
            <w:tcW w:w="1060" w:type="dxa"/>
            <w:vMerge w:val="continue"/>
            <w:tcBorders>
              <w:left w:val="single" w:color="auto" w:sz="4" w:space="0"/>
              <w:right w:val="single" w:color="auto" w:sz="4" w:space="0"/>
            </w:tcBorders>
            <w:noWrap w:val="0"/>
            <w:vAlign w:val="center"/>
          </w:tcPr>
          <w:p w14:paraId="46C7F8BF">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tcBorders>
              <w:left w:val="single" w:color="auto" w:sz="4" w:space="0"/>
              <w:right w:val="single" w:color="auto" w:sz="4" w:space="0"/>
            </w:tcBorders>
            <w:noWrap w:val="0"/>
            <w:vAlign w:val="center"/>
          </w:tcPr>
          <w:p w14:paraId="47E8E970">
            <w:pPr>
              <w:widowControl/>
              <w:jc w:val="center"/>
              <w:textAlignment w:val="center"/>
              <w:rPr>
                <w:rFonts w:hint="eastAsia" w:ascii="宋体" w:hAnsi="宋体" w:eastAsia="宋体" w:cs="宋体"/>
                <w:color w:val="000000"/>
                <w:kern w:val="0"/>
                <w:sz w:val="21"/>
                <w:szCs w:val="21"/>
                <w:highlight w:val="none"/>
              </w:rPr>
            </w:pPr>
          </w:p>
        </w:tc>
      </w:tr>
      <w:tr w14:paraId="22596078">
        <w:tblPrEx>
          <w:tblCellMar>
            <w:top w:w="0" w:type="dxa"/>
            <w:left w:w="108" w:type="dxa"/>
            <w:bottom w:w="0" w:type="dxa"/>
            <w:right w:w="108" w:type="dxa"/>
          </w:tblCellMar>
        </w:tblPrEx>
        <w:trPr>
          <w:trHeight w:val="1208" w:hRule="atLeast"/>
        </w:trPr>
        <w:tc>
          <w:tcPr>
            <w:tcW w:w="656" w:type="dxa"/>
            <w:vMerge w:val="continue"/>
            <w:tcBorders>
              <w:left w:val="single" w:color="auto" w:sz="4" w:space="0"/>
              <w:right w:val="single" w:color="auto" w:sz="4" w:space="0"/>
            </w:tcBorders>
            <w:noWrap w:val="0"/>
            <w:vAlign w:val="center"/>
          </w:tcPr>
          <w:p w14:paraId="1D00E46D">
            <w:pPr>
              <w:widowControl/>
              <w:jc w:val="center"/>
              <w:rPr>
                <w:rFonts w:hint="eastAsia" w:ascii="宋体" w:hAnsi="宋体" w:eastAsia="宋体" w:cs="宋体"/>
                <w:color w:val="000000"/>
                <w:kern w:val="0"/>
                <w:sz w:val="21"/>
                <w:szCs w:val="21"/>
                <w:highlight w:val="none"/>
              </w:rPr>
            </w:pPr>
          </w:p>
        </w:tc>
        <w:tc>
          <w:tcPr>
            <w:tcW w:w="2571" w:type="dxa"/>
            <w:tcBorders>
              <w:top w:val="single" w:color="auto" w:sz="4" w:space="0"/>
              <w:left w:val="single" w:color="auto" w:sz="4" w:space="0"/>
              <w:bottom w:val="single" w:color="auto" w:sz="4" w:space="0"/>
              <w:right w:val="single" w:color="auto" w:sz="4" w:space="0"/>
            </w:tcBorders>
            <w:noWrap w:val="0"/>
            <w:vAlign w:val="center"/>
          </w:tcPr>
          <w:p w14:paraId="28E5F40A">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镇海区蛟川街道东港河B地块东信东路280号1-1,2-1室</w:t>
            </w:r>
          </w:p>
        </w:tc>
        <w:tc>
          <w:tcPr>
            <w:tcW w:w="855" w:type="dxa"/>
            <w:vMerge w:val="continue"/>
            <w:tcBorders>
              <w:left w:val="single" w:color="auto" w:sz="4" w:space="0"/>
              <w:right w:val="single" w:color="auto" w:sz="4" w:space="0"/>
            </w:tcBorders>
            <w:noWrap w:val="0"/>
            <w:vAlign w:val="center"/>
          </w:tcPr>
          <w:p w14:paraId="1AF3F263">
            <w:pPr>
              <w:widowControl/>
              <w:jc w:val="center"/>
              <w:rPr>
                <w:rFonts w:hint="eastAsia" w:ascii="宋体" w:hAnsi="宋体" w:eastAsia="宋体" w:cs="宋体"/>
                <w:color w:val="000000"/>
                <w:kern w:val="0"/>
                <w:sz w:val="21"/>
                <w:szCs w:val="21"/>
                <w:highlight w:val="none"/>
                <w:lang w:val="en-US" w:eastAsia="zh-CN"/>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5336BF5C">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74.58</w:t>
            </w:r>
          </w:p>
        </w:tc>
        <w:tc>
          <w:tcPr>
            <w:tcW w:w="1274" w:type="dxa"/>
            <w:vMerge w:val="continue"/>
            <w:tcBorders>
              <w:left w:val="single" w:color="auto" w:sz="4" w:space="0"/>
              <w:right w:val="single" w:color="auto" w:sz="4" w:space="0"/>
            </w:tcBorders>
            <w:noWrap w:val="0"/>
            <w:vAlign w:val="center"/>
          </w:tcPr>
          <w:p w14:paraId="21F95104">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tcBorders>
              <w:left w:val="single" w:color="auto" w:sz="4" w:space="0"/>
              <w:right w:val="single" w:color="auto" w:sz="4" w:space="0"/>
            </w:tcBorders>
            <w:noWrap w:val="0"/>
            <w:vAlign w:val="center"/>
          </w:tcPr>
          <w:p w14:paraId="00297311">
            <w:pPr>
              <w:widowControl/>
              <w:jc w:val="center"/>
              <w:rPr>
                <w:rFonts w:hint="eastAsia" w:ascii="宋体" w:hAnsi="宋体" w:eastAsia="宋体" w:cs="宋体"/>
                <w:color w:val="000000"/>
                <w:kern w:val="0"/>
                <w:sz w:val="21"/>
                <w:szCs w:val="21"/>
                <w:highlight w:val="none"/>
                <w:lang w:val="en-US"/>
              </w:rPr>
            </w:pPr>
          </w:p>
        </w:tc>
        <w:tc>
          <w:tcPr>
            <w:tcW w:w="1060" w:type="dxa"/>
            <w:vMerge w:val="continue"/>
            <w:tcBorders>
              <w:left w:val="single" w:color="auto" w:sz="4" w:space="0"/>
              <w:right w:val="single" w:color="auto" w:sz="4" w:space="0"/>
            </w:tcBorders>
            <w:noWrap w:val="0"/>
            <w:vAlign w:val="center"/>
          </w:tcPr>
          <w:p w14:paraId="25EA853F">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tcBorders>
              <w:left w:val="single" w:color="auto" w:sz="4" w:space="0"/>
              <w:right w:val="single" w:color="auto" w:sz="4" w:space="0"/>
            </w:tcBorders>
            <w:noWrap w:val="0"/>
            <w:vAlign w:val="center"/>
          </w:tcPr>
          <w:p w14:paraId="4079863A">
            <w:pPr>
              <w:widowControl/>
              <w:jc w:val="center"/>
              <w:textAlignment w:val="center"/>
              <w:rPr>
                <w:rFonts w:hint="eastAsia" w:ascii="宋体" w:hAnsi="宋体" w:eastAsia="宋体" w:cs="宋体"/>
                <w:color w:val="000000"/>
                <w:kern w:val="0"/>
                <w:sz w:val="21"/>
                <w:szCs w:val="21"/>
                <w:highlight w:val="none"/>
              </w:rPr>
            </w:pPr>
          </w:p>
        </w:tc>
      </w:tr>
      <w:tr w14:paraId="2C38A49E">
        <w:tblPrEx>
          <w:tblCellMar>
            <w:top w:w="0" w:type="dxa"/>
            <w:left w:w="108" w:type="dxa"/>
            <w:bottom w:w="0" w:type="dxa"/>
            <w:right w:w="108" w:type="dxa"/>
          </w:tblCellMar>
        </w:tblPrEx>
        <w:trPr>
          <w:trHeight w:val="1208" w:hRule="atLeast"/>
        </w:trPr>
        <w:tc>
          <w:tcPr>
            <w:tcW w:w="656" w:type="dxa"/>
            <w:vMerge w:val="continue"/>
            <w:tcBorders>
              <w:left w:val="single" w:color="auto" w:sz="4" w:space="0"/>
              <w:right w:val="single" w:color="auto" w:sz="4" w:space="0"/>
            </w:tcBorders>
            <w:noWrap w:val="0"/>
            <w:vAlign w:val="center"/>
          </w:tcPr>
          <w:p w14:paraId="0A26E02E">
            <w:pPr>
              <w:widowControl/>
              <w:jc w:val="center"/>
              <w:rPr>
                <w:rFonts w:hint="eastAsia" w:ascii="宋体" w:hAnsi="宋体" w:eastAsia="宋体" w:cs="宋体"/>
                <w:color w:val="000000"/>
                <w:kern w:val="0"/>
                <w:sz w:val="21"/>
                <w:szCs w:val="21"/>
                <w:highlight w:val="none"/>
              </w:rPr>
            </w:pPr>
          </w:p>
        </w:tc>
        <w:tc>
          <w:tcPr>
            <w:tcW w:w="2571" w:type="dxa"/>
            <w:tcBorders>
              <w:top w:val="single" w:color="auto" w:sz="4" w:space="0"/>
              <w:left w:val="single" w:color="auto" w:sz="4" w:space="0"/>
              <w:bottom w:val="single" w:color="auto" w:sz="4" w:space="0"/>
              <w:right w:val="single" w:color="auto" w:sz="4" w:space="0"/>
            </w:tcBorders>
            <w:noWrap w:val="0"/>
            <w:vAlign w:val="center"/>
          </w:tcPr>
          <w:p w14:paraId="4CB7344D">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镇海区蛟川街道东港河B地块东信东路282号1-2,2-2室</w:t>
            </w:r>
          </w:p>
        </w:tc>
        <w:tc>
          <w:tcPr>
            <w:tcW w:w="855" w:type="dxa"/>
            <w:vMerge w:val="continue"/>
            <w:tcBorders>
              <w:left w:val="single" w:color="auto" w:sz="4" w:space="0"/>
              <w:right w:val="single" w:color="auto" w:sz="4" w:space="0"/>
            </w:tcBorders>
            <w:noWrap w:val="0"/>
            <w:vAlign w:val="center"/>
          </w:tcPr>
          <w:p w14:paraId="031D2922">
            <w:pPr>
              <w:widowControl/>
              <w:jc w:val="center"/>
              <w:rPr>
                <w:rFonts w:hint="eastAsia" w:ascii="宋体" w:hAnsi="宋体" w:eastAsia="宋体" w:cs="宋体"/>
                <w:color w:val="000000"/>
                <w:kern w:val="0"/>
                <w:sz w:val="21"/>
                <w:szCs w:val="21"/>
                <w:highlight w:val="none"/>
                <w:lang w:val="en-US" w:eastAsia="zh-CN"/>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1E47A445">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72.90</w:t>
            </w:r>
          </w:p>
        </w:tc>
        <w:tc>
          <w:tcPr>
            <w:tcW w:w="1274" w:type="dxa"/>
            <w:vMerge w:val="continue"/>
            <w:tcBorders>
              <w:left w:val="single" w:color="auto" w:sz="4" w:space="0"/>
              <w:right w:val="single" w:color="auto" w:sz="4" w:space="0"/>
            </w:tcBorders>
            <w:noWrap w:val="0"/>
            <w:vAlign w:val="center"/>
          </w:tcPr>
          <w:p w14:paraId="3384E2A9">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tcBorders>
              <w:left w:val="single" w:color="auto" w:sz="4" w:space="0"/>
              <w:right w:val="single" w:color="auto" w:sz="4" w:space="0"/>
            </w:tcBorders>
            <w:noWrap w:val="0"/>
            <w:vAlign w:val="center"/>
          </w:tcPr>
          <w:p w14:paraId="74613F0A">
            <w:pPr>
              <w:widowControl/>
              <w:jc w:val="center"/>
              <w:rPr>
                <w:rFonts w:hint="eastAsia" w:ascii="宋体" w:hAnsi="宋体" w:eastAsia="宋体" w:cs="宋体"/>
                <w:color w:val="000000"/>
                <w:kern w:val="0"/>
                <w:sz w:val="21"/>
                <w:szCs w:val="21"/>
                <w:highlight w:val="none"/>
                <w:lang w:val="en-US"/>
              </w:rPr>
            </w:pPr>
          </w:p>
        </w:tc>
        <w:tc>
          <w:tcPr>
            <w:tcW w:w="1060" w:type="dxa"/>
            <w:vMerge w:val="continue"/>
            <w:tcBorders>
              <w:left w:val="single" w:color="auto" w:sz="4" w:space="0"/>
              <w:right w:val="single" w:color="auto" w:sz="4" w:space="0"/>
            </w:tcBorders>
            <w:noWrap w:val="0"/>
            <w:vAlign w:val="center"/>
          </w:tcPr>
          <w:p w14:paraId="238E103F">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tcBorders>
              <w:left w:val="single" w:color="auto" w:sz="4" w:space="0"/>
              <w:right w:val="single" w:color="auto" w:sz="4" w:space="0"/>
            </w:tcBorders>
            <w:noWrap w:val="0"/>
            <w:vAlign w:val="center"/>
          </w:tcPr>
          <w:p w14:paraId="05155E62">
            <w:pPr>
              <w:widowControl/>
              <w:jc w:val="center"/>
              <w:textAlignment w:val="center"/>
              <w:rPr>
                <w:rFonts w:hint="eastAsia" w:ascii="宋体" w:hAnsi="宋体" w:eastAsia="宋体" w:cs="宋体"/>
                <w:color w:val="000000"/>
                <w:kern w:val="0"/>
                <w:sz w:val="21"/>
                <w:szCs w:val="21"/>
                <w:highlight w:val="none"/>
              </w:rPr>
            </w:pPr>
          </w:p>
        </w:tc>
      </w:tr>
      <w:tr w14:paraId="08269F50">
        <w:tblPrEx>
          <w:tblCellMar>
            <w:top w:w="0" w:type="dxa"/>
            <w:left w:w="108" w:type="dxa"/>
            <w:bottom w:w="0" w:type="dxa"/>
            <w:right w:w="108" w:type="dxa"/>
          </w:tblCellMar>
        </w:tblPrEx>
        <w:trPr>
          <w:trHeight w:val="1208" w:hRule="atLeast"/>
        </w:trPr>
        <w:tc>
          <w:tcPr>
            <w:tcW w:w="656" w:type="dxa"/>
            <w:vMerge w:val="continue"/>
            <w:tcBorders>
              <w:left w:val="single" w:color="auto" w:sz="4" w:space="0"/>
              <w:right w:val="single" w:color="auto" w:sz="4" w:space="0"/>
            </w:tcBorders>
            <w:noWrap w:val="0"/>
            <w:vAlign w:val="center"/>
          </w:tcPr>
          <w:p w14:paraId="4DAE2061">
            <w:pPr>
              <w:widowControl/>
              <w:jc w:val="center"/>
              <w:rPr>
                <w:rFonts w:hint="eastAsia" w:ascii="宋体" w:hAnsi="宋体" w:eastAsia="宋体" w:cs="宋体"/>
                <w:color w:val="000000"/>
                <w:kern w:val="0"/>
                <w:sz w:val="21"/>
                <w:szCs w:val="21"/>
                <w:highlight w:val="none"/>
              </w:rPr>
            </w:pPr>
          </w:p>
        </w:tc>
        <w:tc>
          <w:tcPr>
            <w:tcW w:w="2571" w:type="dxa"/>
            <w:tcBorders>
              <w:top w:val="single" w:color="auto" w:sz="4" w:space="0"/>
              <w:left w:val="single" w:color="auto" w:sz="4" w:space="0"/>
              <w:bottom w:val="single" w:color="auto" w:sz="4" w:space="0"/>
              <w:right w:val="single" w:color="auto" w:sz="4" w:space="0"/>
            </w:tcBorders>
            <w:noWrap w:val="0"/>
            <w:vAlign w:val="center"/>
          </w:tcPr>
          <w:p w14:paraId="4BD6CF47">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镇海区蛟川街道东港河B地块东信东路284号1-3,2-3室</w:t>
            </w:r>
          </w:p>
        </w:tc>
        <w:tc>
          <w:tcPr>
            <w:tcW w:w="855" w:type="dxa"/>
            <w:vMerge w:val="continue"/>
            <w:tcBorders>
              <w:left w:val="single" w:color="auto" w:sz="4" w:space="0"/>
              <w:right w:val="single" w:color="auto" w:sz="4" w:space="0"/>
            </w:tcBorders>
            <w:noWrap w:val="0"/>
            <w:vAlign w:val="center"/>
          </w:tcPr>
          <w:p w14:paraId="49F72342">
            <w:pPr>
              <w:widowControl/>
              <w:jc w:val="center"/>
              <w:rPr>
                <w:rFonts w:hint="eastAsia" w:ascii="宋体" w:hAnsi="宋体" w:eastAsia="宋体" w:cs="宋体"/>
                <w:color w:val="000000"/>
                <w:kern w:val="0"/>
                <w:sz w:val="21"/>
                <w:szCs w:val="21"/>
                <w:highlight w:val="none"/>
                <w:lang w:val="en-US" w:eastAsia="zh-CN"/>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73B46152">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84.24</w:t>
            </w:r>
          </w:p>
        </w:tc>
        <w:tc>
          <w:tcPr>
            <w:tcW w:w="1274" w:type="dxa"/>
            <w:vMerge w:val="continue"/>
            <w:tcBorders>
              <w:left w:val="single" w:color="auto" w:sz="4" w:space="0"/>
              <w:right w:val="single" w:color="auto" w:sz="4" w:space="0"/>
            </w:tcBorders>
            <w:noWrap w:val="0"/>
            <w:vAlign w:val="center"/>
          </w:tcPr>
          <w:p w14:paraId="12B8CF19">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tcBorders>
              <w:left w:val="single" w:color="auto" w:sz="4" w:space="0"/>
              <w:right w:val="single" w:color="auto" w:sz="4" w:space="0"/>
            </w:tcBorders>
            <w:noWrap w:val="0"/>
            <w:vAlign w:val="center"/>
          </w:tcPr>
          <w:p w14:paraId="28F4065C">
            <w:pPr>
              <w:widowControl/>
              <w:jc w:val="center"/>
              <w:rPr>
                <w:rFonts w:hint="eastAsia" w:ascii="宋体" w:hAnsi="宋体" w:eastAsia="宋体" w:cs="宋体"/>
                <w:color w:val="000000"/>
                <w:kern w:val="0"/>
                <w:sz w:val="21"/>
                <w:szCs w:val="21"/>
                <w:highlight w:val="none"/>
                <w:lang w:val="en-US"/>
              </w:rPr>
            </w:pPr>
          </w:p>
        </w:tc>
        <w:tc>
          <w:tcPr>
            <w:tcW w:w="1060" w:type="dxa"/>
            <w:vMerge w:val="continue"/>
            <w:tcBorders>
              <w:left w:val="single" w:color="auto" w:sz="4" w:space="0"/>
              <w:right w:val="single" w:color="auto" w:sz="4" w:space="0"/>
            </w:tcBorders>
            <w:noWrap w:val="0"/>
            <w:vAlign w:val="center"/>
          </w:tcPr>
          <w:p w14:paraId="07B530D2">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tcBorders>
              <w:left w:val="single" w:color="auto" w:sz="4" w:space="0"/>
              <w:right w:val="single" w:color="auto" w:sz="4" w:space="0"/>
            </w:tcBorders>
            <w:noWrap w:val="0"/>
            <w:vAlign w:val="center"/>
          </w:tcPr>
          <w:p w14:paraId="133992A4">
            <w:pPr>
              <w:widowControl/>
              <w:jc w:val="center"/>
              <w:textAlignment w:val="center"/>
              <w:rPr>
                <w:rFonts w:hint="eastAsia" w:ascii="宋体" w:hAnsi="宋体" w:eastAsia="宋体" w:cs="宋体"/>
                <w:color w:val="000000"/>
                <w:kern w:val="0"/>
                <w:sz w:val="21"/>
                <w:szCs w:val="21"/>
                <w:highlight w:val="none"/>
              </w:rPr>
            </w:pPr>
          </w:p>
        </w:tc>
      </w:tr>
      <w:tr w14:paraId="6AD46024">
        <w:tblPrEx>
          <w:tblCellMar>
            <w:top w:w="0" w:type="dxa"/>
            <w:left w:w="108" w:type="dxa"/>
            <w:bottom w:w="0" w:type="dxa"/>
            <w:right w:w="108" w:type="dxa"/>
          </w:tblCellMar>
        </w:tblPrEx>
        <w:trPr>
          <w:trHeight w:val="1208" w:hRule="atLeast"/>
        </w:trPr>
        <w:tc>
          <w:tcPr>
            <w:tcW w:w="656" w:type="dxa"/>
            <w:vMerge w:val="continue"/>
            <w:tcBorders>
              <w:left w:val="single" w:color="auto" w:sz="4" w:space="0"/>
              <w:right w:val="single" w:color="auto" w:sz="4" w:space="0"/>
            </w:tcBorders>
            <w:noWrap w:val="0"/>
            <w:vAlign w:val="center"/>
          </w:tcPr>
          <w:p w14:paraId="6C1EE787">
            <w:pPr>
              <w:widowControl/>
              <w:jc w:val="center"/>
              <w:rPr>
                <w:rFonts w:hint="eastAsia" w:ascii="宋体" w:hAnsi="宋体" w:eastAsia="宋体" w:cs="宋体"/>
                <w:color w:val="000000"/>
                <w:kern w:val="0"/>
                <w:sz w:val="21"/>
                <w:szCs w:val="21"/>
                <w:highlight w:val="none"/>
              </w:rPr>
            </w:pPr>
          </w:p>
        </w:tc>
        <w:tc>
          <w:tcPr>
            <w:tcW w:w="2571" w:type="dxa"/>
            <w:tcBorders>
              <w:top w:val="single" w:color="auto" w:sz="4" w:space="0"/>
              <w:left w:val="single" w:color="auto" w:sz="4" w:space="0"/>
              <w:bottom w:val="single" w:color="auto" w:sz="4" w:space="0"/>
              <w:right w:val="single" w:color="auto" w:sz="4" w:space="0"/>
            </w:tcBorders>
            <w:noWrap w:val="0"/>
            <w:vAlign w:val="center"/>
          </w:tcPr>
          <w:p w14:paraId="07B9D627">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镇海区蛟川街道东港河B地块东信东路286号1-4,2-4室</w:t>
            </w:r>
          </w:p>
        </w:tc>
        <w:tc>
          <w:tcPr>
            <w:tcW w:w="855" w:type="dxa"/>
            <w:vMerge w:val="continue"/>
            <w:tcBorders>
              <w:left w:val="single" w:color="auto" w:sz="4" w:space="0"/>
              <w:right w:val="single" w:color="auto" w:sz="4" w:space="0"/>
            </w:tcBorders>
            <w:noWrap w:val="0"/>
            <w:vAlign w:val="center"/>
          </w:tcPr>
          <w:p w14:paraId="3723DB39">
            <w:pPr>
              <w:widowControl/>
              <w:jc w:val="center"/>
              <w:rPr>
                <w:rFonts w:hint="eastAsia" w:ascii="宋体" w:hAnsi="宋体" w:eastAsia="宋体" w:cs="宋体"/>
                <w:color w:val="000000"/>
                <w:kern w:val="0"/>
                <w:sz w:val="21"/>
                <w:szCs w:val="21"/>
                <w:highlight w:val="none"/>
                <w:lang w:val="en-US" w:eastAsia="zh-CN"/>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3F28EF25">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72.42</w:t>
            </w:r>
          </w:p>
        </w:tc>
        <w:tc>
          <w:tcPr>
            <w:tcW w:w="1274" w:type="dxa"/>
            <w:vMerge w:val="continue"/>
            <w:tcBorders>
              <w:left w:val="single" w:color="auto" w:sz="4" w:space="0"/>
              <w:right w:val="single" w:color="auto" w:sz="4" w:space="0"/>
            </w:tcBorders>
            <w:noWrap w:val="0"/>
            <w:vAlign w:val="center"/>
          </w:tcPr>
          <w:p w14:paraId="5D80C325">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tcBorders>
              <w:left w:val="single" w:color="auto" w:sz="4" w:space="0"/>
              <w:right w:val="single" w:color="auto" w:sz="4" w:space="0"/>
            </w:tcBorders>
            <w:noWrap w:val="0"/>
            <w:vAlign w:val="center"/>
          </w:tcPr>
          <w:p w14:paraId="4DC29019">
            <w:pPr>
              <w:widowControl/>
              <w:jc w:val="center"/>
              <w:rPr>
                <w:rFonts w:hint="eastAsia" w:ascii="宋体" w:hAnsi="宋体" w:eastAsia="宋体" w:cs="宋体"/>
                <w:color w:val="000000"/>
                <w:kern w:val="0"/>
                <w:sz w:val="21"/>
                <w:szCs w:val="21"/>
                <w:highlight w:val="none"/>
                <w:lang w:val="en-US"/>
              </w:rPr>
            </w:pPr>
          </w:p>
        </w:tc>
        <w:tc>
          <w:tcPr>
            <w:tcW w:w="1060" w:type="dxa"/>
            <w:vMerge w:val="continue"/>
            <w:tcBorders>
              <w:left w:val="single" w:color="auto" w:sz="4" w:space="0"/>
              <w:right w:val="single" w:color="auto" w:sz="4" w:space="0"/>
            </w:tcBorders>
            <w:noWrap w:val="0"/>
            <w:vAlign w:val="center"/>
          </w:tcPr>
          <w:p w14:paraId="18378351">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tcBorders>
              <w:left w:val="single" w:color="auto" w:sz="4" w:space="0"/>
              <w:right w:val="single" w:color="auto" w:sz="4" w:space="0"/>
            </w:tcBorders>
            <w:noWrap w:val="0"/>
            <w:vAlign w:val="center"/>
          </w:tcPr>
          <w:p w14:paraId="31A60107">
            <w:pPr>
              <w:widowControl/>
              <w:jc w:val="center"/>
              <w:textAlignment w:val="center"/>
              <w:rPr>
                <w:rFonts w:hint="eastAsia" w:ascii="宋体" w:hAnsi="宋体" w:eastAsia="宋体" w:cs="宋体"/>
                <w:color w:val="000000"/>
                <w:kern w:val="0"/>
                <w:sz w:val="21"/>
                <w:szCs w:val="21"/>
                <w:highlight w:val="none"/>
              </w:rPr>
            </w:pPr>
          </w:p>
        </w:tc>
      </w:tr>
      <w:tr w14:paraId="25A72977">
        <w:tblPrEx>
          <w:tblCellMar>
            <w:top w:w="0" w:type="dxa"/>
            <w:left w:w="108" w:type="dxa"/>
            <w:bottom w:w="0" w:type="dxa"/>
            <w:right w:w="108" w:type="dxa"/>
          </w:tblCellMar>
        </w:tblPrEx>
        <w:trPr>
          <w:trHeight w:val="1208" w:hRule="atLeast"/>
        </w:trPr>
        <w:tc>
          <w:tcPr>
            <w:tcW w:w="656" w:type="dxa"/>
            <w:vMerge w:val="continue"/>
            <w:tcBorders>
              <w:left w:val="single" w:color="auto" w:sz="4" w:space="0"/>
              <w:right w:val="single" w:color="auto" w:sz="4" w:space="0"/>
            </w:tcBorders>
            <w:noWrap w:val="0"/>
            <w:vAlign w:val="center"/>
          </w:tcPr>
          <w:p w14:paraId="55C3FDF1">
            <w:pPr>
              <w:widowControl/>
              <w:jc w:val="center"/>
              <w:rPr>
                <w:rFonts w:hint="eastAsia" w:ascii="宋体" w:hAnsi="宋体" w:eastAsia="宋体" w:cs="宋体"/>
                <w:color w:val="000000"/>
                <w:kern w:val="0"/>
                <w:sz w:val="21"/>
                <w:szCs w:val="21"/>
                <w:highlight w:val="none"/>
              </w:rPr>
            </w:pPr>
          </w:p>
        </w:tc>
        <w:tc>
          <w:tcPr>
            <w:tcW w:w="2571" w:type="dxa"/>
            <w:tcBorders>
              <w:top w:val="single" w:color="auto" w:sz="4" w:space="0"/>
              <w:left w:val="single" w:color="auto" w:sz="4" w:space="0"/>
              <w:bottom w:val="single" w:color="auto" w:sz="4" w:space="0"/>
              <w:right w:val="single" w:color="auto" w:sz="4" w:space="0"/>
            </w:tcBorders>
            <w:noWrap w:val="0"/>
            <w:vAlign w:val="center"/>
          </w:tcPr>
          <w:p w14:paraId="6262312F">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镇海区蛟川街道东港河B地块东信东路290号1-5,2-5室</w:t>
            </w:r>
          </w:p>
        </w:tc>
        <w:tc>
          <w:tcPr>
            <w:tcW w:w="855" w:type="dxa"/>
            <w:vMerge w:val="continue"/>
            <w:tcBorders>
              <w:left w:val="single" w:color="auto" w:sz="4" w:space="0"/>
              <w:right w:val="single" w:color="auto" w:sz="4" w:space="0"/>
            </w:tcBorders>
            <w:noWrap w:val="0"/>
            <w:vAlign w:val="center"/>
          </w:tcPr>
          <w:p w14:paraId="1933B890">
            <w:pPr>
              <w:widowControl/>
              <w:jc w:val="center"/>
              <w:rPr>
                <w:rFonts w:hint="eastAsia" w:ascii="宋体" w:hAnsi="宋体" w:eastAsia="宋体" w:cs="宋体"/>
                <w:color w:val="000000"/>
                <w:kern w:val="0"/>
                <w:sz w:val="21"/>
                <w:szCs w:val="21"/>
                <w:highlight w:val="none"/>
                <w:lang w:val="en-US" w:eastAsia="zh-CN"/>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24EE9F02">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75.74</w:t>
            </w:r>
          </w:p>
        </w:tc>
        <w:tc>
          <w:tcPr>
            <w:tcW w:w="1274" w:type="dxa"/>
            <w:vMerge w:val="continue"/>
            <w:tcBorders>
              <w:left w:val="single" w:color="auto" w:sz="4" w:space="0"/>
              <w:right w:val="single" w:color="auto" w:sz="4" w:space="0"/>
            </w:tcBorders>
            <w:noWrap w:val="0"/>
            <w:vAlign w:val="center"/>
          </w:tcPr>
          <w:p w14:paraId="0EF2230E">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tcBorders>
              <w:left w:val="single" w:color="auto" w:sz="4" w:space="0"/>
              <w:right w:val="single" w:color="auto" w:sz="4" w:space="0"/>
            </w:tcBorders>
            <w:noWrap w:val="0"/>
            <w:vAlign w:val="center"/>
          </w:tcPr>
          <w:p w14:paraId="1465F91B">
            <w:pPr>
              <w:widowControl/>
              <w:jc w:val="center"/>
              <w:rPr>
                <w:rFonts w:hint="eastAsia" w:ascii="宋体" w:hAnsi="宋体" w:eastAsia="宋体" w:cs="宋体"/>
                <w:color w:val="000000"/>
                <w:kern w:val="0"/>
                <w:sz w:val="21"/>
                <w:szCs w:val="21"/>
                <w:highlight w:val="none"/>
                <w:lang w:val="en-US"/>
              </w:rPr>
            </w:pPr>
          </w:p>
        </w:tc>
        <w:tc>
          <w:tcPr>
            <w:tcW w:w="1060" w:type="dxa"/>
            <w:vMerge w:val="continue"/>
            <w:tcBorders>
              <w:left w:val="single" w:color="auto" w:sz="4" w:space="0"/>
              <w:right w:val="single" w:color="auto" w:sz="4" w:space="0"/>
            </w:tcBorders>
            <w:noWrap w:val="0"/>
            <w:vAlign w:val="center"/>
          </w:tcPr>
          <w:p w14:paraId="3AB80F47">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tcBorders>
              <w:left w:val="single" w:color="auto" w:sz="4" w:space="0"/>
              <w:right w:val="single" w:color="auto" w:sz="4" w:space="0"/>
            </w:tcBorders>
            <w:noWrap w:val="0"/>
            <w:vAlign w:val="center"/>
          </w:tcPr>
          <w:p w14:paraId="6D38803F">
            <w:pPr>
              <w:widowControl/>
              <w:jc w:val="center"/>
              <w:textAlignment w:val="center"/>
              <w:rPr>
                <w:rFonts w:hint="eastAsia" w:ascii="宋体" w:hAnsi="宋体" w:eastAsia="宋体" w:cs="宋体"/>
                <w:color w:val="000000"/>
                <w:kern w:val="0"/>
                <w:sz w:val="21"/>
                <w:szCs w:val="21"/>
                <w:highlight w:val="none"/>
              </w:rPr>
            </w:pPr>
          </w:p>
        </w:tc>
      </w:tr>
      <w:tr w14:paraId="738F42FB">
        <w:tblPrEx>
          <w:tblCellMar>
            <w:top w:w="0" w:type="dxa"/>
            <w:left w:w="108" w:type="dxa"/>
            <w:bottom w:w="0" w:type="dxa"/>
            <w:right w:w="108" w:type="dxa"/>
          </w:tblCellMar>
        </w:tblPrEx>
        <w:trPr>
          <w:trHeight w:val="1208" w:hRule="atLeast"/>
        </w:trPr>
        <w:tc>
          <w:tcPr>
            <w:tcW w:w="656" w:type="dxa"/>
            <w:vMerge w:val="continue"/>
            <w:tcBorders>
              <w:left w:val="single" w:color="auto" w:sz="4" w:space="0"/>
              <w:right w:val="single" w:color="auto" w:sz="4" w:space="0"/>
            </w:tcBorders>
            <w:noWrap w:val="0"/>
            <w:vAlign w:val="center"/>
          </w:tcPr>
          <w:p w14:paraId="0A83780E">
            <w:pPr>
              <w:widowControl/>
              <w:jc w:val="center"/>
              <w:rPr>
                <w:rFonts w:hint="eastAsia" w:ascii="宋体" w:hAnsi="宋体" w:eastAsia="宋体" w:cs="宋体"/>
                <w:color w:val="000000"/>
                <w:kern w:val="0"/>
                <w:sz w:val="21"/>
                <w:szCs w:val="21"/>
                <w:highlight w:val="none"/>
              </w:rPr>
            </w:pPr>
          </w:p>
        </w:tc>
        <w:tc>
          <w:tcPr>
            <w:tcW w:w="2571" w:type="dxa"/>
            <w:tcBorders>
              <w:top w:val="single" w:color="auto" w:sz="4" w:space="0"/>
              <w:left w:val="single" w:color="auto" w:sz="4" w:space="0"/>
              <w:bottom w:val="single" w:color="auto" w:sz="4" w:space="0"/>
              <w:right w:val="single" w:color="auto" w:sz="4" w:space="0"/>
            </w:tcBorders>
            <w:noWrap w:val="0"/>
            <w:vAlign w:val="center"/>
          </w:tcPr>
          <w:p w14:paraId="2D9F1709">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镇海区蛟川街道东港河B地块东信东路294号1-7,2-7室</w:t>
            </w:r>
          </w:p>
        </w:tc>
        <w:tc>
          <w:tcPr>
            <w:tcW w:w="855" w:type="dxa"/>
            <w:vMerge w:val="continue"/>
            <w:tcBorders>
              <w:left w:val="single" w:color="auto" w:sz="4" w:space="0"/>
              <w:right w:val="single" w:color="auto" w:sz="4" w:space="0"/>
            </w:tcBorders>
            <w:noWrap w:val="0"/>
            <w:vAlign w:val="center"/>
          </w:tcPr>
          <w:p w14:paraId="58E4B3F6">
            <w:pPr>
              <w:widowControl/>
              <w:jc w:val="center"/>
              <w:rPr>
                <w:rFonts w:hint="eastAsia" w:ascii="宋体" w:hAnsi="宋体" w:eastAsia="宋体" w:cs="宋体"/>
                <w:color w:val="000000"/>
                <w:kern w:val="0"/>
                <w:sz w:val="21"/>
                <w:szCs w:val="21"/>
                <w:highlight w:val="none"/>
                <w:lang w:val="en-US" w:eastAsia="zh-CN"/>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46B6685D">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78.07</w:t>
            </w:r>
          </w:p>
        </w:tc>
        <w:tc>
          <w:tcPr>
            <w:tcW w:w="1274" w:type="dxa"/>
            <w:vMerge w:val="continue"/>
            <w:tcBorders>
              <w:left w:val="single" w:color="auto" w:sz="4" w:space="0"/>
              <w:right w:val="single" w:color="auto" w:sz="4" w:space="0"/>
            </w:tcBorders>
            <w:noWrap w:val="0"/>
            <w:vAlign w:val="center"/>
          </w:tcPr>
          <w:p w14:paraId="66D33928">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tcBorders>
              <w:left w:val="single" w:color="auto" w:sz="4" w:space="0"/>
              <w:right w:val="single" w:color="auto" w:sz="4" w:space="0"/>
            </w:tcBorders>
            <w:noWrap w:val="0"/>
            <w:vAlign w:val="center"/>
          </w:tcPr>
          <w:p w14:paraId="7A91377F">
            <w:pPr>
              <w:widowControl/>
              <w:jc w:val="center"/>
              <w:rPr>
                <w:rFonts w:hint="eastAsia" w:ascii="宋体" w:hAnsi="宋体" w:eastAsia="宋体" w:cs="宋体"/>
                <w:color w:val="000000"/>
                <w:kern w:val="0"/>
                <w:sz w:val="21"/>
                <w:szCs w:val="21"/>
                <w:highlight w:val="none"/>
                <w:lang w:val="en-US"/>
              </w:rPr>
            </w:pPr>
          </w:p>
        </w:tc>
        <w:tc>
          <w:tcPr>
            <w:tcW w:w="1060" w:type="dxa"/>
            <w:vMerge w:val="continue"/>
            <w:tcBorders>
              <w:left w:val="single" w:color="auto" w:sz="4" w:space="0"/>
              <w:right w:val="single" w:color="auto" w:sz="4" w:space="0"/>
            </w:tcBorders>
            <w:noWrap w:val="0"/>
            <w:vAlign w:val="center"/>
          </w:tcPr>
          <w:p w14:paraId="369F8FC6">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tcBorders>
              <w:left w:val="single" w:color="auto" w:sz="4" w:space="0"/>
              <w:right w:val="single" w:color="auto" w:sz="4" w:space="0"/>
            </w:tcBorders>
            <w:noWrap w:val="0"/>
            <w:vAlign w:val="center"/>
          </w:tcPr>
          <w:p w14:paraId="7DDAC064">
            <w:pPr>
              <w:widowControl/>
              <w:jc w:val="center"/>
              <w:textAlignment w:val="center"/>
              <w:rPr>
                <w:rFonts w:hint="eastAsia" w:ascii="宋体" w:hAnsi="宋体" w:eastAsia="宋体" w:cs="宋体"/>
                <w:color w:val="000000"/>
                <w:kern w:val="0"/>
                <w:sz w:val="21"/>
                <w:szCs w:val="21"/>
                <w:highlight w:val="none"/>
              </w:rPr>
            </w:pPr>
          </w:p>
        </w:tc>
      </w:tr>
      <w:tr w14:paraId="58252898">
        <w:tblPrEx>
          <w:tblCellMar>
            <w:top w:w="0" w:type="dxa"/>
            <w:left w:w="108" w:type="dxa"/>
            <w:bottom w:w="0" w:type="dxa"/>
            <w:right w:w="108" w:type="dxa"/>
          </w:tblCellMar>
        </w:tblPrEx>
        <w:trPr>
          <w:trHeight w:val="1208" w:hRule="atLeast"/>
        </w:trPr>
        <w:tc>
          <w:tcPr>
            <w:tcW w:w="656" w:type="dxa"/>
            <w:vMerge w:val="continue"/>
            <w:tcBorders>
              <w:left w:val="single" w:color="auto" w:sz="4" w:space="0"/>
              <w:right w:val="single" w:color="auto" w:sz="4" w:space="0"/>
            </w:tcBorders>
            <w:noWrap w:val="0"/>
            <w:vAlign w:val="center"/>
          </w:tcPr>
          <w:p w14:paraId="318AED45">
            <w:pPr>
              <w:widowControl/>
              <w:jc w:val="center"/>
              <w:rPr>
                <w:rFonts w:hint="eastAsia" w:ascii="宋体" w:hAnsi="宋体" w:eastAsia="宋体" w:cs="宋体"/>
                <w:color w:val="000000"/>
                <w:kern w:val="0"/>
                <w:sz w:val="21"/>
                <w:szCs w:val="21"/>
                <w:highlight w:val="none"/>
              </w:rPr>
            </w:pPr>
          </w:p>
        </w:tc>
        <w:tc>
          <w:tcPr>
            <w:tcW w:w="2571" w:type="dxa"/>
            <w:tcBorders>
              <w:top w:val="single" w:color="auto" w:sz="4" w:space="0"/>
              <w:left w:val="single" w:color="auto" w:sz="4" w:space="0"/>
              <w:bottom w:val="single" w:color="auto" w:sz="4" w:space="0"/>
              <w:right w:val="single" w:color="auto" w:sz="4" w:space="0"/>
            </w:tcBorders>
            <w:noWrap w:val="0"/>
            <w:vAlign w:val="center"/>
          </w:tcPr>
          <w:p w14:paraId="636A1645">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镇海区蛟川街道东港河B地块东信东路298号1-8,2-8室</w:t>
            </w:r>
          </w:p>
        </w:tc>
        <w:tc>
          <w:tcPr>
            <w:tcW w:w="855" w:type="dxa"/>
            <w:vMerge w:val="continue"/>
            <w:tcBorders>
              <w:left w:val="single" w:color="auto" w:sz="4" w:space="0"/>
              <w:right w:val="single" w:color="auto" w:sz="4" w:space="0"/>
            </w:tcBorders>
            <w:noWrap w:val="0"/>
            <w:vAlign w:val="center"/>
          </w:tcPr>
          <w:p w14:paraId="56AF7C7B">
            <w:pPr>
              <w:widowControl/>
              <w:jc w:val="center"/>
              <w:rPr>
                <w:rFonts w:hint="eastAsia" w:ascii="宋体" w:hAnsi="宋体" w:eastAsia="宋体" w:cs="宋体"/>
                <w:color w:val="000000"/>
                <w:kern w:val="0"/>
                <w:sz w:val="21"/>
                <w:szCs w:val="21"/>
                <w:highlight w:val="none"/>
                <w:lang w:val="en-US" w:eastAsia="zh-CN"/>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0000FC91">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89.20</w:t>
            </w:r>
          </w:p>
        </w:tc>
        <w:tc>
          <w:tcPr>
            <w:tcW w:w="1274" w:type="dxa"/>
            <w:vMerge w:val="continue"/>
            <w:tcBorders>
              <w:left w:val="single" w:color="auto" w:sz="4" w:space="0"/>
              <w:right w:val="single" w:color="auto" w:sz="4" w:space="0"/>
            </w:tcBorders>
            <w:noWrap w:val="0"/>
            <w:vAlign w:val="center"/>
          </w:tcPr>
          <w:p w14:paraId="62C308BB">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tcBorders>
              <w:left w:val="single" w:color="auto" w:sz="4" w:space="0"/>
              <w:right w:val="single" w:color="auto" w:sz="4" w:space="0"/>
            </w:tcBorders>
            <w:noWrap w:val="0"/>
            <w:vAlign w:val="center"/>
          </w:tcPr>
          <w:p w14:paraId="0C9B0D40">
            <w:pPr>
              <w:widowControl/>
              <w:jc w:val="center"/>
              <w:rPr>
                <w:rFonts w:hint="eastAsia" w:ascii="宋体" w:hAnsi="宋体" w:eastAsia="宋体" w:cs="宋体"/>
                <w:color w:val="000000"/>
                <w:kern w:val="0"/>
                <w:sz w:val="21"/>
                <w:szCs w:val="21"/>
                <w:highlight w:val="none"/>
                <w:lang w:val="en-US"/>
              </w:rPr>
            </w:pPr>
          </w:p>
        </w:tc>
        <w:tc>
          <w:tcPr>
            <w:tcW w:w="1060" w:type="dxa"/>
            <w:vMerge w:val="continue"/>
            <w:tcBorders>
              <w:left w:val="single" w:color="auto" w:sz="4" w:space="0"/>
              <w:right w:val="single" w:color="auto" w:sz="4" w:space="0"/>
            </w:tcBorders>
            <w:noWrap w:val="0"/>
            <w:vAlign w:val="center"/>
          </w:tcPr>
          <w:p w14:paraId="4D543342">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tcBorders>
              <w:left w:val="single" w:color="auto" w:sz="4" w:space="0"/>
              <w:right w:val="single" w:color="auto" w:sz="4" w:space="0"/>
            </w:tcBorders>
            <w:noWrap w:val="0"/>
            <w:vAlign w:val="center"/>
          </w:tcPr>
          <w:p w14:paraId="0320E705">
            <w:pPr>
              <w:widowControl/>
              <w:jc w:val="center"/>
              <w:textAlignment w:val="center"/>
              <w:rPr>
                <w:rFonts w:hint="eastAsia" w:ascii="宋体" w:hAnsi="宋体" w:eastAsia="宋体" w:cs="宋体"/>
                <w:color w:val="000000"/>
                <w:kern w:val="0"/>
                <w:sz w:val="21"/>
                <w:szCs w:val="21"/>
                <w:highlight w:val="none"/>
              </w:rPr>
            </w:pPr>
          </w:p>
        </w:tc>
      </w:tr>
      <w:tr w14:paraId="26959780">
        <w:tblPrEx>
          <w:tblCellMar>
            <w:top w:w="0" w:type="dxa"/>
            <w:left w:w="108" w:type="dxa"/>
            <w:bottom w:w="0" w:type="dxa"/>
            <w:right w:w="108" w:type="dxa"/>
          </w:tblCellMar>
        </w:tblPrEx>
        <w:trPr>
          <w:trHeight w:val="1208" w:hRule="atLeast"/>
        </w:trPr>
        <w:tc>
          <w:tcPr>
            <w:tcW w:w="656" w:type="dxa"/>
            <w:vMerge w:val="continue"/>
            <w:tcBorders>
              <w:left w:val="single" w:color="auto" w:sz="4" w:space="0"/>
              <w:bottom w:val="single" w:color="auto" w:sz="4" w:space="0"/>
              <w:right w:val="single" w:color="auto" w:sz="4" w:space="0"/>
            </w:tcBorders>
            <w:noWrap w:val="0"/>
            <w:vAlign w:val="center"/>
          </w:tcPr>
          <w:p w14:paraId="238F8601">
            <w:pPr>
              <w:widowControl/>
              <w:jc w:val="center"/>
              <w:rPr>
                <w:rFonts w:hint="eastAsia" w:ascii="宋体" w:hAnsi="宋体" w:eastAsia="宋体" w:cs="宋体"/>
                <w:color w:val="000000"/>
                <w:kern w:val="0"/>
                <w:sz w:val="21"/>
                <w:szCs w:val="21"/>
                <w:highlight w:val="none"/>
              </w:rPr>
            </w:pPr>
          </w:p>
        </w:tc>
        <w:tc>
          <w:tcPr>
            <w:tcW w:w="2571" w:type="dxa"/>
            <w:tcBorders>
              <w:top w:val="single" w:color="auto" w:sz="4" w:space="0"/>
              <w:left w:val="single" w:color="auto" w:sz="4" w:space="0"/>
              <w:bottom w:val="single" w:color="auto" w:sz="4" w:space="0"/>
              <w:right w:val="single" w:color="auto" w:sz="4" w:space="0"/>
            </w:tcBorders>
            <w:noWrap w:val="0"/>
            <w:vAlign w:val="center"/>
          </w:tcPr>
          <w:p w14:paraId="0D4B79C1">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镇海区蛟川街道东港河B地块东信东路306号1-10,2-10室</w:t>
            </w:r>
          </w:p>
        </w:tc>
        <w:tc>
          <w:tcPr>
            <w:tcW w:w="855" w:type="dxa"/>
            <w:vMerge w:val="continue"/>
            <w:tcBorders>
              <w:left w:val="single" w:color="auto" w:sz="4" w:space="0"/>
              <w:bottom w:val="single" w:color="auto" w:sz="4" w:space="0"/>
              <w:right w:val="single" w:color="auto" w:sz="4" w:space="0"/>
            </w:tcBorders>
            <w:noWrap w:val="0"/>
            <w:vAlign w:val="center"/>
          </w:tcPr>
          <w:p w14:paraId="2658972E">
            <w:pPr>
              <w:widowControl/>
              <w:jc w:val="center"/>
              <w:rPr>
                <w:rFonts w:hint="eastAsia" w:ascii="宋体" w:hAnsi="宋体" w:eastAsia="宋体" w:cs="宋体"/>
                <w:color w:val="000000"/>
                <w:kern w:val="0"/>
                <w:sz w:val="21"/>
                <w:szCs w:val="21"/>
                <w:highlight w:val="none"/>
                <w:lang w:val="en-US" w:eastAsia="zh-CN"/>
              </w:rPr>
            </w:pPr>
          </w:p>
        </w:tc>
        <w:tc>
          <w:tcPr>
            <w:tcW w:w="1154" w:type="dxa"/>
            <w:tcBorders>
              <w:top w:val="single" w:color="auto" w:sz="4" w:space="0"/>
              <w:left w:val="single" w:color="auto" w:sz="4" w:space="0"/>
              <w:bottom w:val="single" w:color="auto" w:sz="4" w:space="0"/>
              <w:right w:val="single" w:color="auto" w:sz="4" w:space="0"/>
            </w:tcBorders>
            <w:noWrap w:val="0"/>
            <w:vAlign w:val="center"/>
          </w:tcPr>
          <w:p w14:paraId="18A70546">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76.88</w:t>
            </w:r>
          </w:p>
        </w:tc>
        <w:tc>
          <w:tcPr>
            <w:tcW w:w="1274" w:type="dxa"/>
            <w:vMerge w:val="continue"/>
            <w:tcBorders>
              <w:left w:val="single" w:color="auto" w:sz="4" w:space="0"/>
              <w:bottom w:val="single" w:color="auto" w:sz="4" w:space="0"/>
              <w:right w:val="single" w:color="auto" w:sz="4" w:space="0"/>
            </w:tcBorders>
            <w:noWrap w:val="0"/>
            <w:vAlign w:val="center"/>
          </w:tcPr>
          <w:p w14:paraId="5E9ACD3D">
            <w:pPr>
              <w:widowControl/>
              <w:jc w:val="center"/>
              <w:rPr>
                <w:rFonts w:hint="eastAsia" w:ascii="宋体" w:hAnsi="宋体" w:eastAsia="宋体" w:cs="宋体"/>
                <w:color w:val="000000"/>
                <w:kern w:val="0"/>
                <w:sz w:val="21"/>
                <w:szCs w:val="21"/>
                <w:highlight w:val="none"/>
                <w:lang w:val="en-US" w:eastAsia="zh-CN"/>
              </w:rPr>
            </w:pPr>
          </w:p>
        </w:tc>
        <w:tc>
          <w:tcPr>
            <w:tcW w:w="1062" w:type="dxa"/>
            <w:vMerge w:val="continue"/>
            <w:tcBorders>
              <w:left w:val="single" w:color="auto" w:sz="4" w:space="0"/>
              <w:bottom w:val="single" w:color="auto" w:sz="4" w:space="0"/>
              <w:right w:val="single" w:color="auto" w:sz="4" w:space="0"/>
            </w:tcBorders>
            <w:noWrap w:val="0"/>
            <w:vAlign w:val="center"/>
          </w:tcPr>
          <w:p w14:paraId="52804581">
            <w:pPr>
              <w:widowControl/>
              <w:jc w:val="center"/>
              <w:rPr>
                <w:rFonts w:hint="eastAsia" w:ascii="宋体" w:hAnsi="宋体" w:eastAsia="宋体" w:cs="宋体"/>
                <w:color w:val="000000"/>
                <w:kern w:val="0"/>
                <w:sz w:val="21"/>
                <w:szCs w:val="21"/>
                <w:highlight w:val="none"/>
                <w:lang w:val="en-US"/>
              </w:rPr>
            </w:pPr>
          </w:p>
        </w:tc>
        <w:tc>
          <w:tcPr>
            <w:tcW w:w="1060" w:type="dxa"/>
            <w:vMerge w:val="continue"/>
            <w:tcBorders>
              <w:left w:val="single" w:color="auto" w:sz="4" w:space="0"/>
              <w:bottom w:val="single" w:color="auto" w:sz="4" w:space="0"/>
              <w:right w:val="single" w:color="auto" w:sz="4" w:space="0"/>
            </w:tcBorders>
            <w:noWrap w:val="0"/>
            <w:vAlign w:val="center"/>
          </w:tcPr>
          <w:p w14:paraId="62948D48">
            <w:pPr>
              <w:widowControl/>
              <w:jc w:val="center"/>
              <w:textAlignment w:val="center"/>
              <w:rPr>
                <w:rFonts w:hint="eastAsia" w:ascii="宋体" w:hAnsi="宋体" w:eastAsia="宋体" w:cs="宋体"/>
                <w:color w:val="000000"/>
                <w:kern w:val="0"/>
                <w:sz w:val="21"/>
                <w:szCs w:val="21"/>
                <w:highlight w:val="none"/>
                <w:lang w:val="en-US" w:eastAsia="zh-CN"/>
              </w:rPr>
            </w:pPr>
          </w:p>
        </w:tc>
        <w:tc>
          <w:tcPr>
            <w:tcW w:w="1326" w:type="dxa"/>
            <w:vMerge w:val="continue"/>
            <w:tcBorders>
              <w:left w:val="single" w:color="auto" w:sz="4" w:space="0"/>
              <w:bottom w:val="single" w:color="auto" w:sz="4" w:space="0"/>
              <w:right w:val="single" w:color="auto" w:sz="4" w:space="0"/>
            </w:tcBorders>
            <w:noWrap w:val="0"/>
            <w:vAlign w:val="center"/>
          </w:tcPr>
          <w:p w14:paraId="7A7DB67A">
            <w:pPr>
              <w:widowControl/>
              <w:jc w:val="center"/>
              <w:textAlignment w:val="center"/>
              <w:rPr>
                <w:rFonts w:hint="eastAsia" w:ascii="宋体" w:hAnsi="宋体" w:eastAsia="宋体" w:cs="宋体"/>
                <w:color w:val="000000"/>
                <w:kern w:val="0"/>
                <w:sz w:val="21"/>
                <w:szCs w:val="21"/>
                <w:highlight w:val="none"/>
              </w:rPr>
            </w:pPr>
          </w:p>
        </w:tc>
      </w:tr>
    </w:tbl>
    <w:p w14:paraId="2421454C">
      <w:pPr>
        <w:spacing w:line="500" w:lineRule="exact"/>
        <w:ind w:firstLine="482" w:firstLineChars="200"/>
        <w:rPr>
          <w:rFonts w:hint="eastAsia" w:ascii="宋体" w:hAnsi="宋体" w:eastAsia="宋体" w:cs="Tahoma"/>
          <w:b/>
          <w:bCs/>
          <w:color w:val="auto"/>
          <w:kern w:val="2"/>
          <w:sz w:val="24"/>
          <w:szCs w:val="24"/>
          <w:highlight w:val="none"/>
          <w:lang w:val="en-US" w:eastAsia="zh-CN" w:bidi="ar-SA"/>
        </w:rPr>
      </w:pPr>
      <w:r>
        <w:rPr>
          <w:rFonts w:hint="eastAsia" w:ascii="宋体" w:hAnsi="宋体" w:cs="Tahoma"/>
          <w:b/>
          <w:bCs/>
          <w:color w:val="auto"/>
          <w:kern w:val="2"/>
          <w:sz w:val="24"/>
          <w:szCs w:val="24"/>
          <w:highlight w:val="none"/>
          <w:lang w:val="en-US" w:eastAsia="zh-CN" w:bidi="ar-SA"/>
        </w:rPr>
        <w:t>注</w:t>
      </w:r>
      <w:r>
        <w:rPr>
          <w:rFonts w:hint="eastAsia" w:ascii="宋体" w:hAnsi="宋体" w:eastAsia="宋体" w:cs="Tahoma"/>
          <w:b/>
          <w:bCs/>
          <w:color w:val="auto"/>
          <w:kern w:val="2"/>
          <w:sz w:val="24"/>
          <w:szCs w:val="24"/>
          <w:highlight w:val="none"/>
          <w:lang w:val="en-US" w:eastAsia="zh-CN" w:bidi="ar-SA"/>
        </w:rPr>
        <w:t>：</w:t>
      </w:r>
    </w:p>
    <w:p w14:paraId="222C42AD">
      <w:pPr>
        <w:spacing w:line="500" w:lineRule="exact"/>
        <w:ind w:firstLine="482" w:firstLineChars="200"/>
        <w:rPr>
          <w:rFonts w:hint="eastAsia" w:ascii="宋体" w:hAnsi="宋体" w:eastAsia="宋体" w:cs="Tahoma"/>
          <w:b/>
          <w:bCs/>
          <w:color w:val="auto"/>
          <w:kern w:val="2"/>
          <w:sz w:val="24"/>
          <w:szCs w:val="24"/>
          <w:highlight w:val="none"/>
          <w:lang w:val="en-US" w:eastAsia="zh-CN" w:bidi="ar-SA"/>
        </w:rPr>
      </w:pPr>
      <w:r>
        <w:rPr>
          <w:rFonts w:hint="eastAsia" w:ascii="宋体" w:hAnsi="宋体" w:eastAsia="宋体" w:cs="Tahoma"/>
          <w:b/>
          <w:bCs/>
          <w:color w:val="auto"/>
          <w:kern w:val="2"/>
          <w:sz w:val="24"/>
          <w:szCs w:val="24"/>
          <w:highlight w:val="none"/>
          <w:lang w:val="en-US" w:eastAsia="zh-CN" w:bidi="ar-SA"/>
        </w:rPr>
        <w:t>1、租赁期间乙方须对租赁物进行装修的，乙方的装修方案须向甲方或物业公司进行事前备案，并按规定自行报相关职能部门审批同意后方可施工；</w:t>
      </w:r>
    </w:p>
    <w:p w14:paraId="4708269C">
      <w:pPr>
        <w:spacing w:line="500" w:lineRule="exact"/>
        <w:ind w:firstLine="482" w:firstLineChars="200"/>
        <w:rPr>
          <w:rFonts w:hint="eastAsia" w:ascii="宋体" w:hAnsi="宋体" w:eastAsia="宋体" w:cs="Tahoma"/>
          <w:b/>
          <w:bCs/>
          <w:color w:val="auto"/>
          <w:kern w:val="2"/>
          <w:sz w:val="24"/>
          <w:szCs w:val="24"/>
          <w:highlight w:val="none"/>
          <w:lang w:val="en-US" w:eastAsia="zh-CN" w:bidi="ar-SA"/>
        </w:rPr>
      </w:pPr>
      <w:r>
        <w:rPr>
          <w:rFonts w:hint="eastAsia" w:ascii="宋体" w:hAnsi="宋体" w:eastAsia="宋体" w:cs="Tahoma"/>
          <w:b/>
          <w:bCs/>
          <w:color w:val="auto"/>
          <w:kern w:val="2"/>
          <w:sz w:val="24"/>
          <w:szCs w:val="24"/>
          <w:highlight w:val="none"/>
          <w:lang w:val="en-US" w:eastAsia="zh-CN" w:bidi="ar-SA"/>
        </w:rPr>
        <w:t>2、为做好街区错位业态规划、规范场景设计、统一立面改造和街区美化和社区营造等，承租方需承担改造统一立面和美化街区形象等投入改造费用，具体费用按照实际承租面积进行分摊（包括项目前期已投入的改造费用），具体改造方案由属地街道审核；</w:t>
      </w:r>
    </w:p>
    <w:p w14:paraId="3DF63C44">
      <w:pPr>
        <w:spacing w:line="500" w:lineRule="exact"/>
        <w:ind w:firstLine="482" w:firstLineChars="200"/>
        <w:rPr>
          <w:rFonts w:hint="eastAsia" w:ascii="宋体" w:hAnsi="宋体" w:eastAsia="宋体" w:cs="Tahoma"/>
          <w:b/>
          <w:bCs/>
          <w:color w:val="auto"/>
          <w:kern w:val="2"/>
          <w:sz w:val="24"/>
          <w:szCs w:val="24"/>
          <w:highlight w:val="none"/>
          <w:lang w:val="en-US" w:eastAsia="zh-CN" w:bidi="ar-SA"/>
        </w:rPr>
      </w:pPr>
      <w:r>
        <w:rPr>
          <w:rFonts w:hint="eastAsia" w:ascii="宋体" w:hAnsi="宋体" w:eastAsia="宋体" w:cs="Tahoma"/>
          <w:b/>
          <w:bCs/>
          <w:color w:val="auto"/>
          <w:kern w:val="2"/>
          <w:sz w:val="24"/>
          <w:szCs w:val="24"/>
          <w:highlight w:val="none"/>
          <w:lang w:val="en-US" w:eastAsia="zh-CN" w:bidi="ar-SA"/>
        </w:rPr>
        <w:t>3、商铺的经营业态须合法合规，如属地街道对经营业态另有要求的，从其要求。</w:t>
      </w:r>
    </w:p>
    <w:p w14:paraId="3EB668AC">
      <w:pPr>
        <w:spacing w:line="500" w:lineRule="exact"/>
        <w:ind w:firstLine="482" w:firstLineChars="200"/>
        <w:rPr>
          <w:rFonts w:hint="eastAsia" w:ascii="宋体" w:hAnsi="宋体" w:eastAsia="宋体" w:cs="Tahoma"/>
          <w:b/>
          <w:bCs/>
          <w:color w:val="auto"/>
          <w:kern w:val="2"/>
          <w:sz w:val="24"/>
          <w:szCs w:val="24"/>
          <w:highlight w:val="none"/>
          <w:lang w:val="en-US" w:eastAsia="zh-CN" w:bidi="ar-SA"/>
        </w:rPr>
      </w:pPr>
      <w:r>
        <w:rPr>
          <w:rFonts w:hint="eastAsia" w:ascii="宋体" w:hAnsi="宋体" w:eastAsia="宋体" w:cs="Tahoma"/>
          <w:b/>
          <w:bCs/>
          <w:color w:val="auto"/>
          <w:kern w:val="2"/>
          <w:sz w:val="24"/>
          <w:szCs w:val="24"/>
          <w:highlight w:val="none"/>
          <w:lang w:val="en-US" w:eastAsia="zh-CN" w:bidi="ar-SA"/>
        </w:rPr>
        <w:t>4、在不违反法律法规强制性规定的前提下，竞买人享有将租赁物转租予其他第三方的权利；竞买人与第三方约定的转租期限，应与本租赁合同约定的租赁期限保持一致，且该转租期限不得超过本租赁合同剩余的租赁期限。</w:t>
      </w:r>
    </w:p>
    <w:p w14:paraId="20BF4136">
      <w:pPr>
        <w:spacing w:line="42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50F7881B">
      <w:pPr>
        <w:pStyle w:val="10"/>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2C7EE6D5">
      <w:pPr>
        <w:pStyle w:val="10"/>
        <w:numPr>
          <w:ilvl w:val="0"/>
          <w:numId w:val="0"/>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bCs/>
          <w:color w:val="auto"/>
          <w:sz w:val="24"/>
          <w:lang w:val="en-US" w:eastAsia="zh-CN"/>
        </w:rPr>
        <w:t>2、</w:t>
      </w: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1064FCA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3</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6</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3</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3</w:t>
      </w:r>
      <w:r>
        <w:rPr>
          <w:rFonts w:hint="eastAsia" w:ascii="宋体" w:hAnsi="宋体" w:eastAsia="宋体" w:cs="宋体"/>
          <w:bCs/>
          <w:color w:val="auto"/>
          <w:kern w:val="2"/>
          <w:sz w:val="24"/>
          <w:szCs w:val="22"/>
          <w:lang w:val="en-US" w:eastAsia="zh-CN" w:bidi="ar-SA"/>
        </w:rPr>
        <w:t>日16时前登陆镇海产权交易电子化平台https://218.0.7.247/ZHPRESystem/index.jsp</w:t>
      </w:r>
      <w:r>
        <w:rPr>
          <w:rFonts w:hint="eastAsia" w:eastAsia="宋体" w:cs="宋体"/>
          <w:bCs/>
          <w:color w:val="auto"/>
          <w:sz w:val="24"/>
          <w:szCs w:val="24"/>
          <w:lang w:val="en-US" w:eastAsia="zh-CN"/>
        </w:rPr>
        <w:t>完成注册报名，交付竞价保证金并绑定对应标的。</w:t>
      </w:r>
      <w:r>
        <w:rPr>
          <w:rFonts w:cs="宋体"/>
          <w:bCs/>
          <w:color w:val="auto"/>
          <w:kern w:val="2"/>
          <w:szCs w:val="22"/>
        </w:rPr>
        <w:t>竞</w:t>
      </w:r>
      <w:r>
        <w:rPr>
          <w:rFonts w:hint="eastAsia" w:cs="宋体"/>
          <w:bCs/>
          <w:color w:val="auto"/>
          <w:kern w:val="2"/>
          <w:szCs w:val="22"/>
          <w:lang w:eastAsia="zh-CN"/>
        </w:rPr>
        <w:t>价</w:t>
      </w:r>
      <w:r>
        <w:rPr>
          <w:rFonts w:cs="宋体"/>
          <w:bCs/>
          <w:color w:val="auto"/>
          <w:kern w:val="2"/>
          <w:szCs w:val="22"/>
        </w:rPr>
        <w:t>保证金汇入指定账户户名(宁波市镇海产权服务中心有限公司，开户银行：宁波银行股份有限公司镇海支行，账号：52010122001150460)</w:t>
      </w:r>
      <w:r>
        <w:rPr>
          <w:rFonts w:hint="eastAsia" w:cs="宋体"/>
          <w:bCs/>
          <w:color w:val="auto"/>
          <w:kern w:val="2"/>
          <w:szCs w:val="22"/>
          <w:lang w:eastAsia="zh-CN"/>
        </w:rPr>
        <w:t>。</w:t>
      </w:r>
    </w:p>
    <w:p w14:paraId="54DE4E8B">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4、展示看样：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6</w:t>
      </w:r>
      <w:r>
        <w:rPr>
          <w:rFonts w:hint="eastAsia" w:ascii="宋体" w:hAnsi="宋体" w:eastAsia="宋体" w:cs="宋体"/>
          <w:color w:val="auto"/>
          <w:sz w:val="24"/>
        </w:rPr>
        <w:t>年</w:t>
      </w:r>
      <w:r>
        <w:rPr>
          <w:rFonts w:hint="eastAsia" w:ascii="宋体" w:hAnsi="宋体" w:cs="宋体"/>
          <w:color w:val="auto"/>
          <w:sz w:val="24"/>
          <w:lang w:val="en-US" w:eastAsia="zh-CN"/>
        </w:rPr>
        <w:t>3</w:t>
      </w:r>
      <w:r>
        <w:rPr>
          <w:rFonts w:hint="eastAsia" w:ascii="宋体" w:hAnsi="宋体" w:eastAsia="宋体" w:cs="宋体"/>
          <w:color w:val="auto"/>
          <w:sz w:val="24"/>
        </w:rPr>
        <w:t>月</w:t>
      </w:r>
      <w:r>
        <w:rPr>
          <w:rFonts w:hint="eastAsia" w:ascii="宋体" w:hAnsi="宋体" w:cs="宋体"/>
          <w:color w:val="auto"/>
          <w:sz w:val="24"/>
          <w:lang w:val="en-US" w:eastAsia="zh-CN"/>
        </w:rPr>
        <w:t>3</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1441CA19">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lang w:val="en-US" w:eastAsia="zh-CN"/>
        </w:rPr>
        <w:t>5</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2C414C8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4F13036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15FDC967">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52C3489B">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9、</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167E50DC">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5DC83822">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0599052E">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17F215B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1929C0EA">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671CC68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3EAD509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1C46774B">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02BCE07C">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2757E960">
      <w:pPr>
        <w:pStyle w:val="11"/>
        <w:widowControl/>
        <w:shd w:val="clear" w:color="auto" w:fill="FFFFFF"/>
        <w:spacing w:line="360" w:lineRule="auto"/>
        <w:ind w:firstLine="464" w:firstLineChars="200"/>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highlight w:val="none"/>
        </w:rPr>
        <w:t>1、</w:t>
      </w:r>
      <w:r>
        <w:rPr>
          <w:rFonts w:hint="eastAsia" w:ascii="宋体" w:hAnsi="宋体" w:eastAsia="宋体" w:cs="宋体"/>
          <w:b/>
          <w:bCs/>
          <w:color w:val="auto"/>
          <w:kern w:val="0"/>
          <w:sz w:val="24"/>
          <w:szCs w:val="24"/>
          <w:highlight w:val="none"/>
          <w:u w:val="single"/>
        </w:rPr>
        <w:t>成交价即为年租金，</w:t>
      </w:r>
      <w:r>
        <w:rPr>
          <w:rFonts w:hint="eastAsia" w:ascii="宋体" w:hAnsi="宋体" w:cs="宋体"/>
          <w:b/>
          <w:bCs/>
          <w:color w:val="auto"/>
          <w:kern w:val="0"/>
          <w:sz w:val="24"/>
          <w:szCs w:val="24"/>
          <w:highlight w:val="none"/>
          <w:u w:val="single"/>
          <w:lang w:val="en-US" w:eastAsia="zh-CN"/>
        </w:rPr>
        <w:t>竞价</w:t>
      </w:r>
      <w:r>
        <w:rPr>
          <w:rFonts w:hint="eastAsia" w:ascii="宋体" w:hAnsi="宋体" w:eastAsia="宋体" w:cs="宋体"/>
          <w:b/>
          <w:bCs/>
          <w:color w:val="auto"/>
          <w:kern w:val="0"/>
          <w:sz w:val="24"/>
          <w:szCs w:val="24"/>
          <w:highlight w:val="none"/>
          <w:u w:val="single"/>
          <w:lang w:val="en-US" w:eastAsia="zh-CN"/>
        </w:rPr>
        <w:t>标的</w:t>
      </w:r>
      <w:r>
        <w:rPr>
          <w:rFonts w:hint="eastAsia" w:ascii="宋体" w:hAnsi="宋体" w:cs="宋体"/>
          <w:b/>
          <w:bCs/>
          <w:color w:val="auto"/>
          <w:kern w:val="0"/>
          <w:sz w:val="24"/>
          <w:szCs w:val="24"/>
          <w:highlight w:val="none"/>
          <w:u w:val="single"/>
          <w:lang w:val="en-US" w:eastAsia="zh-CN"/>
        </w:rPr>
        <w:t>年租金</w:t>
      </w:r>
      <w:r>
        <w:rPr>
          <w:rFonts w:hint="eastAsia" w:ascii="宋体" w:hAnsi="宋体" w:eastAsia="宋体" w:cs="宋体"/>
          <w:b/>
          <w:bCs/>
          <w:color w:val="auto"/>
          <w:kern w:val="0"/>
          <w:sz w:val="24"/>
          <w:szCs w:val="24"/>
          <w:highlight w:val="none"/>
          <w:u w:val="single"/>
        </w:rPr>
        <w:t>支付方式为</w:t>
      </w:r>
      <w:r>
        <w:rPr>
          <w:rFonts w:hint="default" w:ascii="宋体" w:hAnsi="宋体" w:cs="宋体"/>
          <w:b/>
          <w:bCs/>
          <w:color w:val="auto"/>
          <w:kern w:val="0"/>
          <w:sz w:val="24"/>
          <w:szCs w:val="24"/>
          <w:highlight w:val="none"/>
          <w:u w:val="single"/>
          <w:woUserID w:val="1"/>
        </w:rPr>
        <w:t>半年一付</w:t>
      </w:r>
      <w:r>
        <w:rPr>
          <w:rFonts w:hint="eastAsia" w:ascii="宋体" w:hAnsi="宋体" w:eastAsia="宋体" w:cs="宋体"/>
          <w:b/>
          <w:bCs/>
          <w:color w:val="auto"/>
          <w:kern w:val="0"/>
          <w:sz w:val="24"/>
          <w:szCs w:val="24"/>
          <w:highlight w:val="none"/>
          <w:u w:val="single"/>
        </w:rPr>
        <w:t>，先付后用</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color w:val="auto"/>
          <w:spacing w:val="-4"/>
          <w:sz w:val="24"/>
          <w:szCs w:val="24"/>
          <w:highlight w:val="none"/>
          <w:lang w:eastAsia="zh-CN"/>
        </w:rPr>
        <w:t>买受人（承租人）</w:t>
      </w:r>
      <w:r>
        <w:rPr>
          <w:rFonts w:hint="eastAsia" w:ascii="宋体" w:hAnsi="宋体" w:eastAsia="宋体" w:cs="宋体"/>
          <w:color w:val="auto"/>
          <w:spacing w:val="-4"/>
          <w:sz w:val="24"/>
          <w:szCs w:val="24"/>
          <w:highlight w:val="none"/>
        </w:rPr>
        <w:t>须按《</w:t>
      </w:r>
      <w:r>
        <w:rPr>
          <w:rFonts w:hint="eastAsia" w:ascii="宋体" w:hAnsi="宋体" w:cs="宋体"/>
          <w:color w:val="auto"/>
          <w:spacing w:val="-4"/>
          <w:sz w:val="24"/>
          <w:szCs w:val="24"/>
          <w:highlight w:val="none"/>
          <w:lang w:eastAsia="zh-CN"/>
        </w:rPr>
        <w:t>房屋租赁合同</w:t>
      </w:r>
      <w:r>
        <w:rPr>
          <w:rFonts w:hint="eastAsia" w:ascii="宋体" w:hAnsi="宋体" w:eastAsia="宋体" w:cs="宋体"/>
          <w:color w:val="auto"/>
          <w:spacing w:val="-4"/>
          <w:sz w:val="24"/>
          <w:szCs w:val="24"/>
          <w:highlight w:val="none"/>
        </w:rPr>
        <w:t>》约定的租金及缴款期限支付租金</w:t>
      </w:r>
      <w:r>
        <w:rPr>
          <w:rFonts w:hint="eastAsia" w:ascii="宋体" w:hAnsi="宋体" w:eastAsia="宋体" w:cs="宋体"/>
          <w:color w:val="auto"/>
          <w:spacing w:val="-4"/>
          <w:sz w:val="24"/>
          <w:szCs w:val="24"/>
          <w:highlight w:val="none"/>
          <w:u w:val="none"/>
        </w:rPr>
        <w:t>。本次租赁权</w:t>
      </w:r>
      <w:r>
        <w:rPr>
          <w:rFonts w:hint="eastAsia" w:ascii="宋体" w:hAnsi="宋体" w:cs="宋体"/>
          <w:color w:val="auto"/>
          <w:spacing w:val="-4"/>
          <w:sz w:val="24"/>
          <w:szCs w:val="24"/>
          <w:highlight w:val="none"/>
          <w:u w:val="none"/>
          <w:lang w:val="en-US" w:eastAsia="zh-CN"/>
        </w:rPr>
        <w:t>竞价</w:t>
      </w:r>
      <w:r>
        <w:rPr>
          <w:rFonts w:hint="eastAsia" w:ascii="宋体" w:hAnsi="宋体" w:eastAsia="宋体" w:cs="宋体"/>
          <w:color w:val="auto"/>
          <w:spacing w:val="-4"/>
          <w:sz w:val="24"/>
          <w:szCs w:val="24"/>
          <w:highlight w:val="none"/>
          <w:u w:val="none"/>
        </w:rPr>
        <w:t>成交后，</w:t>
      </w:r>
      <w:r>
        <w:rPr>
          <w:rFonts w:hint="eastAsia"/>
          <w:sz w:val="24"/>
          <w:highlight w:val="none"/>
        </w:rPr>
        <w:t>买受人应于成交之日起</w:t>
      </w:r>
      <w:r>
        <w:rPr>
          <w:rFonts w:hint="eastAsia"/>
          <w:sz w:val="24"/>
          <w:highlight w:val="none"/>
          <w:lang w:val="en-US" w:eastAsia="zh-CN"/>
        </w:rPr>
        <w:t>与</w:t>
      </w:r>
      <w:r>
        <w:rPr>
          <w:rFonts w:hint="eastAsia"/>
          <w:sz w:val="24"/>
          <w:highlight w:val="none"/>
        </w:rPr>
        <w:t>委托方指定的时间</w:t>
      </w:r>
      <w:r>
        <w:rPr>
          <w:rFonts w:hint="eastAsia"/>
          <w:sz w:val="24"/>
          <w:highlight w:val="none"/>
          <w:lang w:val="en-US" w:eastAsia="zh-CN"/>
        </w:rPr>
        <w:t>内</w:t>
      </w:r>
      <w:r>
        <w:rPr>
          <w:rFonts w:hint="eastAsia"/>
          <w:sz w:val="24"/>
          <w:highlight w:val="none"/>
        </w:rPr>
        <w:t>签订《房屋租赁合同》，并在</w:t>
      </w:r>
      <w:r>
        <w:rPr>
          <w:rFonts w:hint="eastAsia"/>
          <w:bCs/>
          <w:sz w:val="24"/>
          <w:highlight w:val="none"/>
        </w:rPr>
        <w:t>房屋租赁合同签订之日起</w:t>
      </w:r>
      <w:r>
        <w:rPr>
          <w:rFonts w:hint="eastAsia"/>
          <w:bCs/>
          <w:sz w:val="24"/>
          <w:highlight w:val="none"/>
          <w:lang w:val="en-US" w:eastAsia="zh-CN"/>
        </w:rPr>
        <w:t>3</w:t>
      </w:r>
      <w:r>
        <w:rPr>
          <w:rFonts w:hint="eastAsia"/>
          <w:bCs/>
          <w:sz w:val="24"/>
          <w:highlight w:val="none"/>
        </w:rPr>
        <w:t>日</w:t>
      </w:r>
      <w:r>
        <w:rPr>
          <w:rFonts w:hint="eastAsia"/>
          <w:sz w:val="24"/>
          <w:highlight w:val="none"/>
        </w:rPr>
        <w:t>内将首</w:t>
      </w:r>
      <w:r>
        <w:rPr>
          <w:rFonts w:hint="eastAsia"/>
          <w:sz w:val="24"/>
          <w:highlight w:val="none"/>
          <w:lang w:eastAsia="zh-CN"/>
        </w:rPr>
        <w:t>期</w:t>
      </w:r>
      <w:r>
        <w:rPr>
          <w:rFonts w:hint="eastAsia"/>
          <w:sz w:val="24"/>
          <w:highlight w:val="none"/>
        </w:rPr>
        <w:t>租金成交款及</w:t>
      </w:r>
      <w:r>
        <w:rPr>
          <w:rFonts w:hint="eastAsia" w:ascii="宋体" w:hAnsi="宋体" w:eastAsia="宋体" w:cs="宋体"/>
          <w:color w:val="000000" w:themeColor="text1"/>
          <w:sz w:val="24"/>
          <w:szCs w:val="24"/>
          <w:highlight w:val="none"/>
          <w14:textFill>
            <w14:solidFill>
              <w14:schemeClr w14:val="tx1"/>
            </w14:solidFill>
          </w14:textFill>
        </w:rPr>
        <w:t>履约保证金</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履约保证金为不少于</w:t>
      </w:r>
      <w:r>
        <w:rPr>
          <w:rFonts w:hint="eastAsia" w:ascii="宋体" w:hAnsi="宋体" w:eastAsia="宋体" w:cs="宋体"/>
          <w:color w:val="000000" w:themeColor="text1"/>
          <w:sz w:val="24"/>
          <w:szCs w:val="24"/>
          <w:highlight w:val="none"/>
          <w:lang w:eastAsia="zh-CN"/>
          <w14:textFill>
            <w14:solidFill>
              <w14:schemeClr w14:val="tx1"/>
            </w14:solidFill>
          </w14:textFill>
        </w:rPr>
        <w:t>两</w:t>
      </w:r>
      <w:r>
        <w:rPr>
          <w:rFonts w:hint="eastAsia" w:ascii="宋体" w:hAnsi="宋体" w:eastAsia="宋体" w:cs="宋体"/>
          <w:color w:val="000000" w:themeColor="text1"/>
          <w:sz w:val="24"/>
          <w:szCs w:val="24"/>
          <w:highlight w:val="none"/>
          <w14:textFill>
            <w14:solidFill>
              <w14:schemeClr w14:val="tx1"/>
            </w14:solidFill>
          </w14:textFill>
        </w:rPr>
        <w:t>个月租金归整</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spacing w:val="-4"/>
          <w:sz w:val="24"/>
          <w:szCs w:val="24"/>
          <w:highlight w:val="none"/>
        </w:rPr>
        <w:t>直</w:t>
      </w:r>
      <w:r>
        <w:rPr>
          <w:rFonts w:hint="eastAsia" w:ascii="宋体" w:hAnsi="宋体" w:eastAsia="宋体" w:cs="宋体"/>
          <w:spacing w:val="-4"/>
          <w:sz w:val="24"/>
          <w:szCs w:val="24"/>
        </w:rPr>
        <w:t>接付至委托人（出租人）</w:t>
      </w:r>
      <w:r>
        <w:rPr>
          <w:rFonts w:hint="eastAsia" w:ascii="宋体" w:hAnsi="宋体" w:eastAsia="宋体" w:cs="宋体"/>
          <w:spacing w:val="-4"/>
          <w:sz w:val="24"/>
          <w:szCs w:val="24"/>
          <w:u w:val="single"/>
        </w:rPr>
        <w:t>指定帐户：宁波市璟诚企业运营管理有限公司，开户银行：中国建设银行股份有限公司宁波镇海区支行，账号：33150198403600002545</w:t>
      </w:r>
      <w:r>
        <w:rPr>
          <w:rFonts w:hint="eastAsia" w:ascii="宋体" w:hAnsi="宋体" w:eastAsia="宋体" w:cs="宋体"/>
          <w:color w:val="auto"/>
          <w:spacing w:val="-4"/>
          <w:sz w:val="24"/>
          <w:szCs w:val="24"/>
        </w:rPr>
        <w:t>。</w:t>
      </w:r>
    </w:p>
    <w:p w14:paraId="690CD202">
      <w:pPr>
        <w:spacing w:line="360" w:lineRule="auto"/>
        <w:ind w:firstLine="464" w:firstLineChars="200"/>
        <w:rPr>
          <w:rFonts w:hint="eastAsia" w:ascii="宋体" w:hAnsi="宋体" w:cs="宋体"/>
          <w:b/>
          <w:color w:val="auto"/>
          <w:sz w:val="24"/>
          <w:szCs w:val="24"/>
          <w:lang w:val="en-US" w:eastAsia="zh-CN"/>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098F8345">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3EC22891">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eastAsia="zh-CN"/>
        </w:rPr>
      </w:pPr>
      <w:r>
        <w:rPr>
          <w:rFonts w:hint="eastAsia" w:ascii="宋体" w:hAnsi="宋体" w:cs="宋体"/>
          <w:b/>
          <w:color w:val="auto"/>
          <w:sz w:val="24"/>
          <w:szCs w:val="24"/>
          <w:lang w:val="en-US" w:eastAsia="zh-CN"/>
        </w:rPr>
        <w:t>本次部分标的处于空置状态，房屋原始状态为毛坯（具体已现场看样为准）</w:t>
      </w:r>
      <w:r>
        <w:rPr>
          <w:rFonts w:hint="eastAsia" w:ascii="宋体" w:hAnsi="宋体" w:cs="宋体"/>
          <w:b/>
          <w:color w:val="auto"/>
          <w:sz w:val="24"/>
          <w:szCs w:val="24"/>
          <w:lang w:eastAsia="zh-CN"/>
        </w:rPr>
        <w:t>。</w:t>
      </w:r>
    </w:p>
    <w:p w14:paraId="05A646F8">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0D296834">
      <w:pPr>
        <w:spacing w:line="360" w:lineRule="auto"/>
        <w:ind w:firstLine="480" w:firstLineChars="200"/>
        <w:jc w:val="both"/>
        <w:rPr>
          <w:rFonts w:hint="eastAsia" w:ascii="宋体" w:hAnsi="宋体" w:cs="宋体"/>
          <w:b w:val="0"/>
          <w:bCs w:val="0"/>
          <w:color w:val="auto"/>
          <w:sz w:val="24"/>
          <w:szCs w:val="24"/>
        </w:rPr>
      </w:pPr>
      <w:r>
        <w:rPr>
          <w:rFonts w:hint="eastAsia" w:ascii="宋体" w:hAnsi="宋体" w:cs="宋体"/>
          <w:b w:val="0"/>
          <w:bCs w:val="0"/>
          <w:color w:val="auto"/>
          <w:sz w:val="24"/>
          <w:szCs w:val="24"/>
          <w:lang w:val="en-US" w:eastAsia="zh-CN"/>
        </w:rPr>
        <w:t>2、</w:t>
      </w:r>
      <w:r>
        <w:rPr>
          <w:rFonts w:hint="eastAsia" w:ascii="宋体" w:hAnsi="宋体" w:cs="宋体"/>
          <w:b w:val="0"/>
          <w:bCs w:val="0"/>
          <w:color w:val="auto"/>
          <w:sz w:val="24"/>
          <w:szCs w:val="24"/>
          <w:lang w:eastAsia="zh-CN"/>
        </w:rPr>
        <w:t>买受人</w:t>
      </w:r>
      <w:r>
        <w:rPr>
          <w:rFonts w:hint="eastAsia" w:ascii="宋体" w:hAnsi="宋体" w:cs="宋体"/>
          <w:b w:val="0"/>
          <w:bCs w:val="0"/>
          <w:color w:val="auto"/>
          <w:sz w:val="24"/>
          <w:szCs w:val="24"/>
        </w:rPr>
        <w:t>应在</w:t>
      </w:r>
      <w:r>
        <w:rPr>
          <w:rFonts w:hint="eastAsia" w:ascii="宋体" w:hAnsi="宋体" w:cs="宋体"/>
          <w:b w:val="0"/>
          <w:bCs w:val="0"/>
          <w:color w:val="auto"/>
          <w:sz w:val="24"/>
          <w:szCs w:val="24"/>
          <w:lang w:val="en-US" w:eastAsia="zh-CN"/>
        </w:rPr>
        <w:t>接委托人</w:t>
      </w:r>
      <w:r>
        <w:rPr>
          <w:rFonts w:hint="eastAsia" w:ascii="宋体" w:hAnsi="宋体" w:cs="宋体"/>
          <w:b w:val="0"/>
          <w:bCs w:val="0"/>
          <w:color w:val="auto"/>
          <w:sz w:val="24"/>
          <w:szCs w:val="24"/>
        </w:rPr>
        <w:t>通知后</w:t>
      </w:r>
      <w:r>
        <w:rPr>
          <w:rFonts w:hint="eastAsia" w:ascii="宋体" w:hAnsi="宋体" w:cs="宋体"/>
          <w:b w:val="0"/>
          <w:bCs w:val="0"/>
          <w:color w:val="auto"/>
          <w:sz w:val="24"/>
          <w:szCs w:val="24"/>
          <w:lang w:val="en-US" w:eastAsia="zh-CN"/>
        </w:rPr>
        <w:t>于指定时间</w:t>
      </w:r>
      <w:r>
        <w:rPr>
          <w:rFonts w:hint="eastAsia" w:ascii="宋体" w:hAnsi="宋体" w:cs="宋体"/>
          <w:b w:val="0"/>
          <w:bCs w:val="0"/>
          <w:color w:val="auto"/>
          <w:sz w:val="24"/>
          <w:szCs w:val="24"/>
        </w:rPr>
        <w:t>内办理租赁手续，与委托人签订</w:t>
      </w:r>
      <w:r>
        <w:rPr>
          <w:rFonts w:hint="eastAsia" w:ascii="宋体" w:hAnsi="宋体" w:eastAsia="宋体" w:cs="宋体"/>
          <w:b w:val="0"/>
          <w:bCs w:val="0"/>
          <w:color w:val="auto"/>
          <w:sz w:val="24"/>
          <w:szCs w:val="24"/>
        </w:rPr>
        <w:t>《</w:t>
      </w:r>
      <w:r>
        <w:rPr>
          <w:rFonts w:hint="eastAsia" w:ascii="宋体" w:hAnsi="宋体" w:cs="宋体"/>
          <w:b w:val="0"/>
          <w:bCs w:val="0"/>
          <w:color w:val="auto"/>
          <w:sz w:val="24"/>
          <w:szCs w:val="24"/>
          <w:lang w:eastAsia="zh-CN"/>
        </w:rPr>
        <w:t>房屋租赁合同</w:t>
      </w:r>
      <w:r>
        <w:rPr>
          <w:rFonts w:hint="eastAsia" w:ascii="宋体" w:hAnsi="宋体" w:eastAsia="宋体" w:cs="宋体"/>
          <w:b w:val="0"/>
          <w:bCs w:val="0"/>
          <w:color w:val="auto"/>
          <w:sz w:val="24"/>
          <w:szCs w:val="24"/>
        </w:rPr>
        <w:t>》</w:t>
      </w:r>
      <w:r>
        <w:rPr>
          <w:rFonts w:hint="eastAsia" w:ascii="宋体" w:hAnsi="宋体" w:cs="宋体"/>
          <w:b w:val="0"/>
          <w:bCs w:val="0"/>
          <w:color w:val="auto"/>
          <w:sz w:val="24"/>
          <w:szCs w:val="24"/>
        </w:rPr>
        <w:t>。</w:t>
      </w:r>
    </w:p>
    <w:p w14:paraId="4A40D91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3、</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499F499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6FD4CCF2">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4172A0D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Tahoma"/>
          <w:b w:val="0"/>
          <w:bCs w:val="0"/>
          <w:color w:val="auto"/>
          <w:kern w:val="2"/>
          <w:sz w:val="24"/>
          <w:szCs w:val="24"/>
          <w:highlight w:val="none"/>
          <w:lang w:val="en-US" w:eastAsia="zh-CN" w:bidi="ar-SA"/>
        </w:rPr>
        <w:t>租赁期间乙方对租赁物进行装修的</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4D172D8D">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3A16F64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1FA9C43E">
      <w:pPr>
        <w:pStyle w:val="6"/>
        <w:widowControl/>
        <w:spacing w:beforeAutospacing="0" w:afterAutospacing="0" w:line="360" w:lineRule="auto"/>
        <w:ind w:firstLine="480" w:firstLineChars="200"/>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145C273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106EC3C8">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29AEAD2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2AD3B86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65F052DA">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1C1DE27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09741D08">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23C6123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516DBF68">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②买受人（承租人）逾期支付租金的，依照《中华人民共和国民法典》及《市属企业国有产权转让管理办法》的规定</w:t>
      </w:r>
      <w:r>
        <w:rPr>
          <w:rFonts w:hint="eastAsia" w:ascii="宋体" w:hAnsi="宋体" w:cs="宋体"/>
          <w:color w:val="auto"/>
          <w:sz w:val="24"/>
          <w:szCs w:val="24"/>
          <w:lang w:eastAsia="zh-CN"/>
        </w:rPr>
        <w:t>，</w:t>
      </w:r>
      <w:r>
        <w:rPr>
          <w:rFonts w:hint="eastAsia" w:ascii="宋体" w:hAnsi="宋体" w:eastAsia="宋体" w:cs="宋体"/>
          <w:color w:val="auto"/>
          <w:sz w:val="24"/>
          <w:szCs w:val="24"/>
        </w:rPr>
        <w:t>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53E9D37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6EC0FFF5">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20995A5A">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49B84E87">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lang w:val="en-US" w:eastAsia="zh-CN"/>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0071D1DE">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附件：《房屋租赁合同（商铺、办公类）》</w:t>
      </w:r>
    </w:p>
    <w:p w14:paraId="4A7D634B">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auto"/>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auto"/>
          <w:sz w:val="24"/>
          <w:szCs w:val="24"/>
          <w:lang w:val="en-US" w:eastAsia="zh-CN"/>
        </w:rPr>
        <w:t>宁波市镇海产权服务中心</w:t>
      </w:r>
      <w:r>
        <w:rPr>
          <w:rFonts w:hint="eastAsia" w:ascii="宋体" w:hAnsi="宋体" w:eastAsia="宋体" w:cs="仿宋_GB2312"/>
          <w:b w:val="0"/>
          <w:bCs w:val="0"/>
          <w:color w:val="auto"/>
          <w:sz w:val="24"/>
          <w:szCs w:val="24"/>
          <w:lang w:val="en-US" w:eastAsia="zh-CN"/>
        </w:rPr>
        <w:t>有限公司</w:t>
      </w:r>
    </w:p>
    <w:p w14:paraId="1D6EB1D3">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2</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12</w:t>
      </w:r>
      <w:bookmarkStart w:id="0" w:name="_GoBack"/>
      <w:bookmarkEnd w:id="0"/>
      <w:r>
        <w:rPr>
          <w:rFonts w:hint="eastAsia" w:ascii="宋体" w:hAnsi="宋体" w:eastAsia="宋体" w:cs="宋体"/>
          <w:color w:val="auto"/>
          <w:sz w:val="24"/>
          <w:szCs w:val="24"/>
        </w:rPr>
        <w:t>日</w:t>
      </w:r>
    </w:p>
    <w:p w14:paraId="2FEE9BD0">
      <w:pPr>
        <w:spacing w:line="240" w:lineRule="auto"/>
        <w:jc w:val="both"/>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附件1:</w:t>
      </w:r>
    </w:p>
    <w:p w14:paraId="1376C5DE">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default" w:ascii="仿宋_GB2312" w:hAnsi="仿宋_GB2312" w:eastAsia="仿宋_GB2312" w:cs="仿宋_GB2312"/>
          <w:b/>
          <w:bCs/>
          <w:sz w:val="52"/>
          <w:szCs w:val="52"/>
          <w:lang w:val="en-US" w:eastAsia="zh-CN"/>
        </w:rPr>
      </w:pPr>
      <w:r>
        <w:rPr>
          <w:rFonts w:hint="eastAsia" w:ascii="仿宋_GB2312" w:hAnsi="仿宋_GB2312" w:eastAsia="仿宋_GB2312" w:cs="仿宋_GB2312"/>
          <w:b/>
          <w:bCs/>
          <w:sz w:val="44"/>
          <w:szCs w:val="44"/>
        </w:rPr>
        <w:t>房屋租赁合同</w:t>
      </w:r>
      <w:r>
        <w:rPr>
          <w:rFonts w:hint="eastAsia" w:ascii="仿宋_GB2312" w:hAnsi="仿宋_GB2312" w:eastAsia="仿宋_GB2312" w:cs="仿宋_GB2312"/>
          <w:b/>
          <w:bCs/>
          <w:sz w:val="44"/>
          <w:szCs w:val="44"/>
          <w:lang w:eastAsia="zh-CN"/>
        </w:rPr>
        <w:t>（</w:t>
      </w:r>
      <w:r>
        <w:rPr>
          <w:rFonts w:hint="eastAsia" w:ascii="仿宋_GB2312" w:hAnsi="仿宋_GB2312" w:eastAsia="仿宋_GB2312" w:cs="仿宋_GB2312"/>
          <w:b/>
          <w:bCs/>
          <w:sz w:val="44"/>
          <w:szCs w:val="44"/>
          <w:lang w:val="en-US" w:eastAsia="zh-CN"/>
        </w:rPr>
        <w:t>商铺、办公类）</w:t>
      </w:r>
    </w:p>
    <w:p w14:paraId="3EB48DB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p>
    <w:p w14:paraId="478819A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合同编号：</w:t>
      </w:r>
      <w:r>
        <w:rPr>
          <w:rFonts w:hint="eastAsia" w:ascii="仿宋_GB2312" w:hAnsi="仿宋_GB2312" w:eastAsia="仿宋_GB2312" w:cs="仿宋_GB2312"/>
          <w:sz w:val="32"/>
          <w:szCs w:val="32"/>
          <w:u w:val="single"/>
        </w:rPr>
        <w:t xml:space="preserve">                        </w:t>
      </w:r>
    </w:p>
    <w:p w14:paraId="054584C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签订日期：</w:t>
      </w:r>
      <w:r>
        <w:rPr>
          <w:rFonts w:hint="eastAsia" w:ascii="仿宋_GB2312" w:hAnsi="仿宋_GB2312" w:eastAsia="仿宋_GB2312" w:cs="仿宋_GB2312"/>
          <w:sz w:val="32"/>
          <w:szCs w:val="32"/>
          <w:u w:val="single"/>
        </w:rPr>
        <w:t xml:space="preserve">       年   月  日      </w:t>
      </w:r>
    </w:p>
    <w:p w14:paraId="2CDD993C">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签订地点：</w:t>
      </w:r>
      <w:r>
        <w:rPr>
          <w:rFonts w:hint="eastAsia" w:ascii="仿宋_GB2312" w:hAnsi="仿宋_GB2312" w:eastAsia="仿宋_GB2312" w:cs="仿宋_GB2312"/>
          <w:sz w:val="32"/>
          <w:szCs w:val="32"/>
          <w:u w:val="single"/>
        </w:rPr>
        <w:t xml:space="preserve">                        </w:t>
      </w:r>
    </w:p>
    <w:p w14:paraId="6409E33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p>
    <w:p w14:paraId="18E82EF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eastAsia" w:ascii="仿宋_GB2312" w:hAnsi="仿宋_GB2312" w:eastAsia="仿宋_GB2312" w:cs="仿宋_GB2312"/>
          <w:b/>
          <w:sz w:val="32"/>
          <w:szCs w:val="32"/>
        </w:rPr>
      </w:pPr>
    </w:p>
    <w:p w14:paraId="5A51003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甲方（出租方）： </w:t>
      </w:r>
      <w:r>
        <w:rPr>
          <w:rFonts w:hint="eastAsia" w:ascii="仿宋_GB2312" w:hAnsi="仿宋_GB2312" w:eastAsia="仿宋_GB2312" w:cs="仿宋_GB2312"/>
          <w:b/>
          <w:sz w:val="32"/>
          <w:szCs w:val="32"/>
          <w:u w:val="single"/>
        </w:rPr>
        <w:t xml:space="preserve">                                                         </w:t>
      </w:r>
    </w:p>
    <w:p w14:paraId="4826101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14:paraId="29B7985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4508BB2C">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1768377A">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sz w:val="32"/>
          <w:szCs w:val="32"/>
        </w:rPr>
        <w:t xml:space="preserve">                                       </w:t>
      </w:r>
    </w:p>
    <w:p w14:paraId="40D402FE">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乙方（承租方）： </w:t>
      </w:r>
      <w:r>
        <w:rPr>
          <w:rFonts w:hint="eastAsia" w:ascii="仿宋_GB2312" w:hAnsi="仿宋_GB2312" w:eastAsia="仿宋_GB2312" w:cs="仿宋_GB2312"/>
          <w:b/>
          <w:sz w:val="32"/>
          <w:szCs w:val="32"/>
          <w:u w:val="single"/>
        </w:rPr>
        <w:t xml:space="preserve">                                                         </w:t>
      </w:r>
    </w:p>
    <w:p w14:paraId="3D6136D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【承租人为企业时适用】                                     </w:t>
      </w:r>
      <w:r>
        <w:rPr>
          <w:rFonts w:hint="eastAsia" w:ascii="仿宋_GB2312" w:hAnsi="仿宋_GB2312" w:eastAsia="仿宋_GB2312" w:cs="仿宋_GB2312"/>
          <w:sz w:val="32"/>
          <w:szCs w:val="32"/>
        </w:rPr>
        <w:t xml:space="preserve">                                                   </w:t>
      </w:r>
    </w:p>
    <w:p w14:paraId="184B90B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公民身份号码：</w:t>
      </w:r>
      <w:r>
        <w:rPr>
          <w:rFonts w:hint="eastAsia" w:ascii="仿宋_GB2312" w:hAnsi="仿宋_GB2312" w:eastAsia="仿宋_GB2312" w:cs="仿宋_GB2312"/>
          <w:sz w:val="32"/>
          <w:szCs w:val="32"/>
          <w:u w:val="single"/>
        </w:rPr>
        <w:t xml:space="preserve">          【承租人为自然人时适用】                        </w:t>
      </w:r>
    </w:p>
    <w:p w14:paraId="7E18AE1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1AF15FB2">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0CEC5B5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根据《中华人民共和国民法典》及其他相关规定，甲、乙双方以自愿、平等、公平、诚信为基本原则，经</w:t>
      </w:r>
      <w:r>
        <w:rPr>
          <w:rFonts w:hint="eastAsia" w:ascii="仿宋_GB2312" w:hAnsi="仿宋_GB2312" w:eastAsia="仿宋_GB2312" w:cs="仿宋_GB2312"/>
          <w:sz w:val="30"/>
          <w:szCs w:val="30"/>
          <w:u w:val="single"/>
        </w:rPr>
        <w:t xml:space="preserve">  【公开竞价、友好协商等】 </w:t>
      </w:r>
      <w:r>
        <w:rPr>
          <w:rFonts w:hint="eastAsia" w:ascii="仿宋_GB2312" w:hAnsi="仿宋_GB2312" w:eastAsia="仿宋_GB2312" w:cs="仿宋_GB2312"/>
          <w:sz w:val="30"/>
          <w:szCs w:val="30"/>
        </w:rPr>
        <w:t>，就乙方向甲方承租</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事宜，特订立本合同，以兹共同信守。</w:t>
      </w:r>
    </w:p>
    <w:p w14:paraId="3647A51C">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第1条 租赁物概况</w:t>
      </w:r>
    </w:p>
    <w:p w14:paraId="5FF816A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1.1租赁物座落：</w:t>
      </w:r>
      <w:r>
        <w:rPr>
          <w:rFonts w:hint="eastAsia" w:ascii="仿宋_GB2312" w:hAnsi="仿宋_GB2312" w:eastAsia="仿宋_GB2312" w:cs="仿宋_GB2312"/>
          <w:sz w:val="30"/>
          <w:szCs w:val="30"/>
          <w:u w:val="single"/>
        </w:rPr>
        <w:t xml:space="preserve">                                            </w:t>
      </w:r>
    </w:p>
    <w:p w14:paraId="5B13D2C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1.2租赁物面积：</w:t>
      </w:r>
      <w:r>
        <w:rPr>
          <w:rFonts w:hint="eastAsia" w:ascii="仿宋_GB2312" w:hAnsi="仿宋_GB2312" w:eastAsia="仿宋_GB2312" w:cs="仿宋_GB2312"/>
          <w:sz w:val="30"/>
          <w:szCs w:val="30"/>
          <w:u w:val="single"/>
        </w:rPr>
        <w:t xml:space="preserve">                                            </w:t>
      </w:r>
    </w:p>
    <w:p w14:paraId="4931DB2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1.3租赁物用途：</w:t>
      </w:r>
      <w:r>
        <w:rPr>
          <w:rFonts w:hint="eastAsia" w:ascii="仿宋_GB2312" w:hAnsi="仿宋_GB2312" w:eastAsia="仿宋_GB2312" w:cs="仿宋_GB2312"/>
          <w:sz w:val="30"/>
          <w:szCs w:val="30"/>
          <w:u w:val="single"/>
        </w:rPr>
        <w:t xml:space="preserve">                                             </w:t>
      </w:r>
    </w:p>
    <w:p w14:paraId="464C40C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1.4附属设施设备：</w:t>
      </w:r>
      <w:r>
        <w:rPr>
          <w:rFonts w:hint="eastAsia" w:ascii="仿宋_GB2312" w:hAnsi="仿宋_GB2312" w:eastAsia="仿宋_GB2312" w:cs="仿宋_GB2312"/>
          <w:sz w:val="30"/>
          <w:szCs w:val="30"/>
          <w:u w:val="single"/>
        </w:rPr>
        <w:t xml:space="preserve">                                            </w:t>
      </w:r>
    </w:p>
    <w:p w14:paraId="3E60AC4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1.5关于租赁物特别说明：</w:t>
      </w:r>
      <w:r>
        <w:rPr>
          <w:rFonts w:hint="eastAsia" w:ascii="仿宋_GB2312" w:hAnsi="仿宋_GB2312" w:eastAsia="仿宋_GB2312" w:cs="仿宋_GB2312"/>
          <w:sz w:val="30"/>
          <w:szCs w:val="30"/>
          <w:u w:val="single"/>
        </w:rPr>
        <w:t xml:space="preserve"> 【文物资产、木结构建筑等特殊情况适用】  </w:t>
      </w:r>
    </w:p>
    <w:p w14:paraId="76C91F1F">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第二条 租赁期限</w:t>
      </w:r>
    </w:p>
    <w:p w14:paraId="3ED61EC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2.1本合同租赁期限共计</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年，自</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日起至</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日止。</w:t>
      </w:r>
    </w:p>
    <w:p w14:paraId="3551CC0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2.2租赁期满后乙方如需续约，应提前3个月向甲方书面申请，甲方有权根据自身的情况确定是否继续出租。如甲方不再继续出租的，应在收到乙方书面续租申请后书面告知乙方。如甲方继续出租房屋的，乙方在同等条件下享有优先承租权，但乙方应按照甲方的租赁流程及时办理相关手续（包括但不限于参与公开竞租、协商谈判等）。</w:t>
      </w:r>
    </w:p>
    <w:p w14:paraId="548E92BC">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第三条 租金及支付</w:t>
      </w:r>
    </w:p>
    <w:p w14:paraId="6E4BEDE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3.1租赁期限内，甲乙双方按照</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先付后用</w:t>
      </w:r>
      <w:r>
        <w:rPr>
          <w:rFonts w:hint="eastAsia" w:ascii="仿宋_GB2312" w:hAnsi="仿宋_GB2312" w:eastAsia="仿宋_GB2312" w:cs="仿宋_GB2312"/>
          <w:color w:val="auto"/>
          <w:sz w:val="30"/>
          <w:szCs w:val="30"/>
          <w:u w:val="none"/>
        </w:rPr>
        <w:t>，一年</w:t>
      </w:r>
      <w:r>
        <w:rPr>
          <w:rFonts w:hint="eastAsia" w:ascii="仿宋_GB2312" w:hAnsi="仿宋_GB2312" w:eastAsia="仿宋_GB2312" w:cs="仿宋_GB2312"/>
          <w:color w:val="auto"/>
          <w:sz w:val="30"/>
          <w:szCs w:val="30"/>
          <w:u w:val="none"/>
          <w:lang w:val="en-US" w:eastAsia="zh-CN"/>
        </w:rPr>
        <w:t xml:space="preserve">  </w:t>
      </w:r>
      <w:r>
        <w:rPr>
          <w:rFonts w:hint="eastAsia" w:ascii="仿宋_GB2312" w:hAnsi="仿宋_GB2312" w:eastAsia="仿宋_GB2312" w:cs="仿宋_GB2312"/>
          <w:color w:val="auto"/>
          <w:sz w:val="30"/>
          <w:szCs w:val="30"/>
          <w:u w:val="none"/>
        </w:rPr>
        <w:t>付</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原则执行，年租金含税为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元(大写：</w:t>
      </w:r>
      <w:r>
        <w:rPr>
          <w:rFonts w:hint="eastAsia" w:ascii="仿宋_GB2312" w:hAnsi="仿宋_GB2312" w:eastAsia="仿宋_GB2312" w:cs="仿宋_GB2312"/>
          <w:color w:val="auto"/>
          <w:sz w:val="30"/>
          <w:szCs w:val="30"/>
          <w:u w:val="single"/>
        </w:rPr>
        <w:t xml:space="preserve">            元整)</w:t>
      </w:r>
      <w:r>
        <w:rPr>
          <w:rFonts w:hint="eastAsia" w:ascii="仿宋_GB2312" w:hAnsi="仿宋_GB2312" w:eastAsia="仿宋_GB2312" w:cs="仿宋_GB2312"/>
          <w:color w:val="auto"/>
          <w:sz w:val="30"/>
          <w:szCs w:val="30"/>
        </w:rPr>
        <w:t>，乙方按照下列租金标准及期限向甲方支付租金：</w:t>
      </w:r>
    </w:p>
    <w:tbl>
      <w:tblPr>
        <w:tblStyle w:val="7"/>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1"/>
        <w:gridCol w:w="3109"/>
        <w:gridCol w:w="3520"/>
      </w:tblGrid>
      <w:tr w14:paraId="23D0C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152F90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租赁年度</w:t>
            </w:r>
          </w:p>
        </w:tc>
        <w:tc>
          <w:tcPr>
            <w:tcW w:w="3109" w:type="dxa"/>
            <w:noWrap w:val="0"/>
            <w:vAlign w:val="top"/>
          </w:tcPr>
          <w:p w14:paraId="6F930CDB">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租金金额（人民币·元）</w:t>
            </w:r>
          </w:p>
        </w:tc>
        <w:tc>
          <w:tcPr>
            <w:tcW w:w="3520" w:type="dxa"/>
            <w:noWrap w:val="0"/>
            <w:vAlign w:val="top"/>
          </w:tcPr>
          <w:p w14:paraId="4BB2FB4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支付期限</w:t>
            </w:r>
          </w:p>
        </w:tc>
      </w:tr>
      <w:tr w14:paraId="0DE96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6328EEC">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第一期</w:t>
            </w:r>
          </w:p>
        </w:tc>
        <w:tc>
          <w:tcPr>
            <w:tcW w:w="3109" w:type="dxa"/>
            <w:noWrap w:val="0"/>
            <w:vAlign w:val="top"/>
          </w:tcPr>
          <w:p w14:paraId="774F20D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2146CA31">
            <w:pPr>
              <w:keepNext w:val="0"/>
              <w:keepLines w:val="0"/>
              <w:pageBreakBefore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本合同签订后</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日内</w:t>
            </w:r>
          </w:p>
        </w:tc>
      </w:tr>
      <w:tr w14:paraId="37DDA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D499686">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第二期</w:t>
            </w:r>
          </w:p>
        </w:tc>
        <w:tc>
          <w:tcPr>
            <w:tcW w:w="3109" w:type="dxa"/>
            <w:noWrap w:val="0"/>
            <w:vAlign w:val="top"/>
          </w:tcPr>
          <w:p w14:paraId="5042D18D">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00D2F94F">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031B7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9D0134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第三期</w:t>
            </w:r>
          </w:p>
        </w:tc>
        <w:tc>
          <w:tcPr>
            <w:tcW w:w="3109" w:type="dxa"/>
            <w:noWrap w:val="0"/>
            <w:vAlign w:val="top"/>
          </w:tcPr>
          <w:p w14:paraId="046E65A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13258D7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68927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AFFDC10">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第四期</w:t>
            </w:r>
          </w:p>
        </w:tc>
        <w:tc>
          <w:tcPr>
            <w:tcW w:w="3109" w:type="dxa"/>
            <w:noWrap w:val="0"/>
            <w:vAlign w:val="top"/>
          </w:tcPr>
          <w:p w14:paraId="17117BF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7E1D36D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5EE0B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4AF18E3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第五期</w:t>
            </w:r>
          </w:p>
        </w:tc>
        <w:tc>
          <w:tcPr>
            <w:tcW w:w="3109" w:type="dxa"/>
            <w:noWrap w:val="0"/>
            <w:vAlign w:val="top"/>
          </w:tcPr>
          <w:p w14:paraId="39DEF2D7">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0B2A88EA">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3FF51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7681050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第六期</w:t>
            </w:r>
          </w:p>
        </w:tc>
        <w:tc>
          <w:tcPr>
            <w:tcW w:w="3109" w:type="dxa"/>
            <w:noWrap w:val="0"/>
            <w:vAlign w:val="top"/>
          </w:tcPr>
          <w:p w14:paraId="3BA0A89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0D2707C8">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6D0CF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A71F50D">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lang w:val="en-US" w:eastAsia="zh-CN"/>
              </w:rPr>
            </w:pPr>
            <w:r>
              <w:rPr>
                <w:rFonts w:hint="eastAsia" w:ascii="仿宋_GB2312" w:hAnsi="仿宋_GB2312" w:eastAsia="仿宋_GB2312" w:cs="仿宋_GB2312"/>
                <w:color w:val="000000"/>
                <w:sz w:val="30"/>
                <w:szCs w:val="30"/>
                <w:lang w:val="en-US" w:eastAsia="zh-CN"/>
              </w:rPr>
              <w:t>···</w:t>
            </w:r>
          </w:p>
        </w:tc>
        <w:tc>
          <w:tcPr>
            <w:tcW w:w="3109" w:type="dxa"/>
            <w:noWrap w:val="0"/>
            <w:vAlign w:val="top"/>
          </w:tcPr>
          <w:p w14:paraId="5DD87F9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0A9780CF">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r>
    </w:tbl>
    <w:p w14:paraId="7823A5F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乙方所有租金、合同履约保证金等款项均要以银行转账方式划转至甲方银行结算账户，乙方不得以现金方式交付给甲方任何人员。特殊情况由双方另行协商。甲方指定收款账户信息如下：</w:t>
      </w:r>
    </w:p>
    <w:p w14:paraId="5587F90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收款单位：</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2E0F466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收款账号：</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17BB86A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收款银行：</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5DB50EB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3.2上述租金均为含税价，适用税率为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%。租赁期间若发生国家税率调整的，已支付的租金不进行调整，自下个租赁年度开始适用调整后的新税率，租金作相应调整。</w:t>
      </w:r>
    </w:p>
    <w:p w14:paraId="59F24CD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乙方应严格按照约定期限及时足额支付租金，乙方未按约支付租金的，自逾期之日起以应付租金为基数按照日</w:t>
      </w:r>
      <w:r>
        <w:rPr>
          <w:rFonts w:hint="eastAsia" w:ascii="仿宋_GB2312" w:hAnsi="仿宋_GB2312" w:eastAsia="仿宋_GB2312" w:cs="仿宋_GB2312"/>
          <w:color w:val="000000"/>
          <w:sz w:val="30"/>
          <w:szCs w:val="30"/>
        </w:rPr>
        <w:t>万</w:t>
      </w:r>
      <w:r>
        <w:rPr>
          <w:rFonts w:hint="eastAsia" w:ascii="仿宋_GB2312" w:hAnsi="仿宋_GB2312" w:eastAsia="仿宋_GB2312" w:cs="仿宋_GB2312"/>
          <w:sz w:val="30"/>
          <w:szCs w:val="30"/>
        </w:rPr>
        <w:t>分之三的标准向甲方支付违约金。逾期超过30日的，甲方有权单方解除合同。乙方应按</w:t>
      </w:r>
      <w:r>
        <w:rPr>
          <w:rFonts w:hint="eastAsia" w:ascii="仿宋_GB2312" w:hAnsi="仿宋_GB2312" w:eastAsia="仿宋_GB2312" w:cs="仿宋_GB2312"/>
          <w:sz w:val="30"/>
          <w:szCs w:val="30"/>
          <w:lang w:eastAsia="zh-CN"/>
        </w:rPr>
        <w:t>当年度</w:t>
      </w:r>
      <w:r>
        <w:rPr>
          <w:rFonts w:hint="eastAsia" w:ascii="仿宋_GB2312" w:hAnsi="仿宋_GB2312" w:eastAsia="仿宋_GB2312" w:cs="仿宋_GB2312"/>
          <w:sz w:val="30"/>
          <w:szCs w:val="30"/>
        </w:rPr>
        <w:t>租金的20%向甲方支付违约金，同时履约保证金不予退还。</w:t>
      </w:r>
    </w:p>
    <w:p w14:paraId="2AB5BAE2">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第四条 费用承担</w:t>
      </w:r>
    </w:p>
    <w:p w14:paraId="6584F32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4.1租赁期限内，乙方按照下列约定支付相关费用：</w:t>
      </w:r>
    </w:p>
    <w:p w14:paraId="34DB6D4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4.1.1物业管理费</w:t>
      </w:r>
      <w:r>
        <w:rPr>
          <w:rFonts w:hint="eastAsia" w:ascii="仿宋_GB2312" w:hAnsi="仿宋_GB2312" w:eastAsia="仿宋_GB2312" w:cs="仿宋_GB2312"/>
          <w:sz w:val="30"/>
          <w:szCs w:val="30"/>
          <w:lang w:eastAsia="zh-CN"/>
        </w:rPr>
        <w:t>【如有】</w:t>
      </w:r>
      <w:r>
        <w:rPr>
          <w:rFonts w:hint="eastAsia" w:ascii="仿宋_GB2312" w:hAnsi="仿宋_GB2312" w:eastAsia="仿宋_GB2312" w:cs="仿宋_GB2312"/>
          <w:sz w:val="30"/>
          <w:szCs w:val="30"/>
        </w:rPr>
        <w:t>：租赁物的现行物业管理服务由</w:t>
      </w:r>
      <w:r>
        <w:rPr>
          <w:rFonts w:hint="eastAsia" w:ascii="仿宋_GB2312" w:hAnsi="仿宋_GB2312" w:eastAsia="仿宋_GB2312" w:cs="仿宋_GB2312"/>
          <w:sz w:val="30"/>
          <w:szCs w:val="30"/>
          <w:u w:val="single"/>
        </w:rPr>
        <w:t xml:space="preserve">   【物业公司名称】      </w:t>
      </w:r>
      <w:r>
        <w:rPr>
          <w:rFonts w:hint="eastAsia" w:ascii="仿宋_GB2312" w:hAnsi="仿宋_GB2312" w:eastAsia="仿宋_GB2312" w:cs="仿宋_GB2312"/>
          <w:sz w:val="30"/>
          <w:szCs w:val="30"/>
        </w:rPr>
        <w:t>负责，乙方应按照该公司现行的标准及要求支付物业管理费。</w:t>
      </w:r>
    </w:p>
    <w:p w14:paraId="32B8988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现行物业费收费标准为：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 xml:space="preserve"> </w:t>
      </w:r>
    </w:p>
    <w:p w14:paraId="6F54650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4.1.2电梯电费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如有</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：按总户数除以面积平方乘以租赁面积等情况进行分摊核算，费用由物业公</w:t>
      </w:r>
      <w:r>
        <w:rPr>
          <w:rFonts w:hint="eastAsia" w:ascii="仿宋_GB2312" w:hAnsi="仿宋_GB2312" w:eastAsia="仿宋_GB2312" w:cs="仿宋_GB2312"/>
          <w:color w:val="auto"/>
          <w:sz w:val="30"/>
          <w:szCs w:val="30"/>
        </w:rPr>
        <w:t>司</w:t>
      </w:r>
      <w:r>
        <w:rPr>
          <w:rFonts w:hint="eastAsia" w:ascii="仿宋_GB2312" w:hAnsi="仿宋_GB2312" w:eastAsia="仿宋_GB2312" w:cs="仿宋_GB2312"/>
          <w:color w:val="auto"/>
          <w:sz w:val="30"/>
          <w:szCs w:val="30"/>
          <w:lang w:eastAsia="zh-CN"/>
        </w:rPr>
        <w:t>按具体规定</w:t>
      </w:r>
      <w:r>
        <w:rPr>
          <w:rFonts w:hint="eastAsia" w:ascii="仿宋_GB2312" w:hAnsi="仿宋_GB2312" w:eastAsia="仿宋_GB2312" w:cs="仿宋_GB2312"/>
          <w:color w:val="auto"/>
          <w:sz w:val="30"/>
          <w:szCs w:val="30"/>
        </w:rPr>
        <w:t>收取。</w:t>
      </w:r>
    </w:p>
    <w:p w14:paraId="601E43C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4.1.3水费：按楼层水表计量，费用由物业公司收取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w:t>
      </w:r>
    </w:p>
    <w:p w14:paraId="5579286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4.1.4电费：按楼层计量表，根据乙方实际用电情况支付电费</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；专变用电费用按租赁面积分摊由物业公司代收代付。</w:t>
      </w:r>
    </w:p>
    <w:p w14:paraId="18AB1BE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4.1.5通讯及网络费用：需开通网络的，由乙方自行向网络运营商申请开通及支</w:t>
      </w:r>
      <w:r>
        <w:rPr>
          <w:rFonts w:hint="eastAsia" w:ascii="仿宋_GB2312" w:hAnsi="仿宋_GB2312" w:eastAsia="仿宋_GB2312" w:cs="仿宋_GB2312"/>
          <w:sz w:val="30"/>
          <w:szCs w:val="30"/>
        </w:rPr>
        <w:t>付费用。</w:t>
      </w:r>
    </w:p>
    <w:p w14:paraId="6174A21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4.1.6其他费用（包括但不限于垃圾清运费）等，由乙方按照物业公司的标准及要求支付。</w:t>
      </w:r>
    </w:p>
    <w:p w14:paraId="3F737E0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4.2</w:t>
      </w:r>
      <w:r>
        <w:rPr>
          <w:rFonts w:hint="eastAsia" w:ascii="仿宋_GB2312" w:hAnsi="仿宋_GB2312" w:eastAsia="仿宋_GB2312" w:cs="仿宋_GB2312"/>
          <w:color w:val="000000"/>
          <w:sz w:val="30"/>
          <w:szCs w:val="30"/>
        </w:rPr>
        <w:t>租赁期满或提前终止时，乙方应向甲方提供上述相关费用结清凭证。乙方有拖欠费用的，甲方有权从乙方缴纳的履约保证金中直接扣除支付。</w:t>
      </w:r>
      <w:r>
        <w:rPr>
          <w:rFonts w:hint="eastAsia" w:ascii="仿宋_GB2312" w:hAnsi="仿宋_GB2312" w:eastAsia="仿宋_GB2312" w:cs="仿宋_GB2312"/>
          <w:sz w:val="30"/>
          <w:szCs w:val="30"/>
        </w:rPr>
        <w:t>履约保证金不足以冲抵的，由乙方另行支付。</w:t>
      </w:r>
    </w:p>
    <w:p w14:paraId="3F79CA29">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第五条 履约保证金</w:t>
      </w:r>
    </w:p>
    <w:p w14:paraId="7478F7D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5.1本合同签订后</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rPr>
        <w:t>日内，乙方向甲方支付履约保证金</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不低于首年</w:t>
      </w:r>
      <w:r>
        <w:rPr>
          <w:rFonts w:hint="eastAsia" w:ascii="仿宋_GB2312" w:hAnsi="仿宋_GB2312" w:eastAsia="仿宋_GB2312" w:cs="仿宋_GB2312"/>
          <w:color w:val="auto"/>
          <w:sz w:val="30"/>
          <w:szCs w:val="30"/>
          <w:lang w:val="en-US" w:eastAsia="zh-CN"/>
        </w:rPr>
        <w:t>2个月房屋租金</w:t>
      </w:r>
      <w:r>
        <w:rPr>
          <w:rFonts w:hint="eastAsia" w:ascii="仿宋_GB2312" w:hAnsi="仿宋_GB2312" w:eastAsia="仿宋_GB2312" w:cs="仿宋_GB2312"/>
          <w:color w:val="auto"/>
          <w:sz w:val="30"/>
          <w:szCs w:val="30"/>
        </w:rPr>
        <w:t>）元。</w:t>
      </w:r>
    </w:p>
    <w:p w14:paraId="642A210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5.2履约保证金的目的在于督促</w:t>
      </w:r>
      <w:r>
        <w:rPr>
          <w:rFonts w:hint="eastAsia" w:ascii="仿宋_GB2312" w:hAnsi="仿宋_GB2312" w:eastAsia="仿宋_GB2312" w:cs="仿宋_GB2312"/>
          <w:sz w:val="30"/>
          <w:szCs w:val="30"/>
        </w:rPr>
        <w:t>乙方按约履行合同义务，当乙方违反合同约定，拖欠租金、应支付费用、发生违约、损坏租赁物等情形需要承担经济责任时，甲方有权直接从履约保证金中扣除并支付相应的金额。</w:t>
      </w:r>
    </w:p>
    <w:p w14:paraId="396F2F1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5.3租赁期满或提前终止时，履约保证金在乙方按约腾空房屋并经甲方验收合格后15日内，扣除乙方拖欠的租金（如有）、应支付费用（如有）、违约金（如有）、损害赔偿金（如有）等各项费用后无息退还给乙方。</w:t>
      </w:r>
    </w:p>
    <w:p w14:paraId="44C4859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5.4履约保证金不足以支付全部费用的，由乙方另行补足。</w:t>
      </w:r>
    </w:p>
    <w:p w14:paraId="278B3880">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b/>
          <w:sz w:val="30"/>
          <w:szCs w:val="30"/>
        </w:rPr>
        <w:t>第六条</w:t>
      </w:r>
      <w:r>
        <w:rPr>
          <w:rFonts w:hint="eastAsia" w:ascii="仿宋_GB2312" w:hAnsi="仿宋_GB2312" w:eastAsia="仿宋_GB2312" w:cs="仿宋_GB2312"/>
          <w:color w:val="000000"/>
          <w:sz w:val="30"/>
          <w:szCs w:val="30"/>
        </w:rPr>
        <w:t xml:space="preserve"> </w:t>
      </w:r>
      <w:r>
        <w:rPr>
          <w:rFonts w:hint="eastAsia" w:ascii="仿宋_GB2312" w:hAnsi="仿宋_GB2312" w:eastAsia="仿宋_GB2312" w:cs="仿宋_GB2312"/>
          <w:b/>
          <w:sz w:val="30"/>
          <w:szCs w:val="30"/>
        </w:rPr>
        <w:t>租赁物的交付及返还</w:t>
      </w:r>
    </w:p>
    <w:p w14:paraId="790BEA8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6.1本合同签订前，乙方已对租赁物进行实地查看并确认符合乙方入驻要求。租赁物可能存在屋面、墙面渗水漏水等瑕疵，甲方交付租赁物时，乙方对此均已知悉并无异议。</w:t>
      </w:r>
    </w:p>
    <w:p w14:paraId="412967D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6.2甲方按现状将租赁物交付给乙方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以房屋移交确认书为准。</w:t>
      </w:r>
    </w:p>
    <w:p w14:paraId="4B2953E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6.3乙方应在租赁期满</w:t>
      </w:r>
      <w:r>
        <w:rPr>
          <w:rFonts w:hint="eastAsia" w:ascii="仿宋_GB2312" w:hAnsi="仿宋_GB2312" w:eastAsia="仿宋_GB2312" w:cs="仿宋_GB2312"/>
          <w:sz w:val="30"/>
          <w:szCs w:val="30"/>
          <w:lang w:eastAsia="zh-CN"/>
        </w:rPr>
        <w:t>时</w:t>
      </w:r>
      <w:r>
        <w:rPr>
          <w:rFonts w:hint="eastAsia" w:ascii="仿宋_GB2312" w:hAnsi="仿宋_GB2312" w:eastAsia="仿宋_GB2312" w:cs="仿宋_GB2312"/>
          <w:sz w:val="30"/>
          <w:szCs w:val="30"/>
        </w:rPr>
        <w:t>完成腾空并将租赁物返还给甲方（以房屋移交确认书为准），返还租赁物时，乙方应打扫干净并完成垃圾清运，相关附属设施设备应处于完好和可使用状态，否则应负责恢复原状或赔偿损失。乙方未腾空、未打扫及清运垃圾或损坏附属设施设备的，甲方有权拒绝接收租赁物及拒绝退还履行保证金，直至乙方继续履行达到约定返还标准为止。房屋内未拆除的固定装修及设施归甲方所有，甲方不作任何补偿，乙方也不得向下期承租户索取任何费用。</w:t>
      </w:r>
    </w:p>
    <w:p w14:paraId="33CA5E9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6.4乙方未按约返还租赁物的，</w:t>
      </w:r>
      <w:r>
        <w:rPr>
          <w:rFonts w:hint="eastAsia" w:ascii="仿宋_GB2312" w:hAnsi="仿宋_GB2312" w:eastAsia="仿宋_GB2312" w:cs="仿宋_GB2312"/>
          <w:sz w:val="30"/>
          <w:szCs w:val="30"/>
          <w:highlight w:val="none"/>
          <w:lang w:val="en-US" w:eastAsia="zh-CN"/>
        </w:rPr>
        <w:t>甲方有权</w:t>
      </w:r>
      <w:r>
        <w:rPr>
          <w:rFonts w:hint="eastAsia" w:ascii="仿宋_GB2312" w:hAnsi="仿宋_GB2312" w:eastAsia="仿宋_GB2312" w:cs="仿宋_GB2312"/>
          <w:sz w:val="30"/>
          <w:szCs w:val="30"/>
          <w:highlight w:val="none"/>
          <w:lang w:val="zh-CN" w:eastAsia="zh-CN"/>
        </w:rPr>
        <w:t>向人民法院提起诉讼，</w:t>
      </w:r>
      <w:r>
        <w:rPr>
          <w:rFonts w:hint="eastAsia" w:ascii="仿宋_GB2312" w:hAnsi="仿宋_GB2312" w:eastAsia="仿宋_GB2312" w:cs="仿宋_GB2312"/>
          <w:sz w:val="30"/>
          <w:szCs w:val="30"/>
          <w:highlight w:val="none"/>
          <w:lang w:val="en-US" w:eastAsia="zh-CN"/>
        </w:rPr>
        <w:t>并</w:t>
      </w:r>
      <w:r>
        <w:rPr>
          <w:rFonts w:hint="eastAsia" w:ascii="仿宋_GB2312" w:hAnsi="仿宋_GB2312" w:eastAsia="仿宋_GB2312" w:cs="仿宋_GB2312"/>
          <w:sz w:val="30"/>
          <w:szCs w:val="30"/>
          <w:highlight w:val="none"/>
          <w:lang w:val="zh-CN" w:eastAsia="zh-CN"/>
        </w:rPr>
        <w:t>由乙方承担甲方为实现债权所支出的所有费用。</w:t>
      </w:r>
    </w:p>
    <w:p w14:paraId="2C8AA38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6.5乙方未按约返还租赁物的，甲方有权通知物业公司停止物业服务并采取停水、停电等措施督促乙方履约，因此造成不利后果的由乙方自行承担，与甲方无涉。</w:t>
      </w:r>
    </w:p>
    <w:p w14:paraId="4831F244">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第七条 租赁物使用</w:t>
      </w:r>
    </w:p>
    <w:p w14:paraId="2507395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7.1乙方已充分了解租赁物的位置、结构、布局、配套设施、用途等各方面详细情况，乙方承诺严格按照本合同约定的用途使用租赁物，不将租赁物作与其用途不符的使用，不利用租赁物从事违法经营活动。</w:t>
      </w:r>
    </w:p>
    <w:p w14:paraId="11C5503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7.2租赁期间，未经甲方书面同意乙方不得将租赁物转让、转租、分租或出借给第三方。</w:t>
      </w:r>
    </w:p>
    <w:p w14:paraId="3EB42CF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7.3租赁期间，乙方不得擅自变动租赁物建筑主体和承重结构，未经甲方书面同意，不得进行任何扩建、改建。</w:t>
      </w:r>
    </w:p>
    <w:p w14:paraId="5DC58F2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7.4乙方从事经营活动需自行向有关部门办理相关手续，甲方除配合提供必要的相关资料外不承担其他任何义务和责任。乙方以租赁物注册营业地址的，租赁期满或提前终止时应办理变更或注销手续，在乙方完成变更或注销之前，甲方有权拒绝退还履约保证金。</w:t>
      </w:r>
    </w:p>
    <w:p w14:paraId="09327A7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7.5乙方应确保与其招聘的工作人员建立合法合规的人事关系，确保工作人员在租赁物工作期间的人身和财产安全。</w:t>
      </w:r>
    </w:p>
    <w:p w14:paraId="2B285CD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7.6租赁物系历史文物或木结构建筑的，租赁期间乙方应为租赁物购买相应的保险；乙方从事的行业属于危险或危化行业的，应配备符合国家和地方法律法规及政策规定安全和环保设施设备。</w:t>
      </w:r>
    </w:p>
    <w:p w14:paraId="4EEC7C4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w:t>
      </w:r>
      <w:r>
        <w:rPr>
          <w:rFonts w:hint="eastAsia" w:ascii="仿宋_GB2312" w:hAnsi="仿宋_GB2312" w:eastAsia="仿宋_GB2312" w:cs="仿宋_GB2312"/>
          <w:sz w:val="30"/>
          <w:szCs w:val="30"/>
          <w:lang w:eastAsia="zh-Hans"/>
        </w:rPr>
        <w:t>.7</w:t>
      </w:r>
      <w:r>
        <w:rPr>
          <w:rFonts w:hint="eastAsia" w:ascii="仿宋_GB2312" w:hAnsi="仿宋_GB2312" w:eastAsia="仿宋_GB2312" w:cs="仿宋_GB2312"/>
          <w:sz w:val="30"/>
          <w:szCs w:val="30"/>
        </w:rPr>
        <w:t>乙方应严格遵守附件</w:t>
      </w:r>
      <w:r>
        <w:rPr>
          <w:rFonts w:hint="eastAsia" w:ascii="仿宋_GB2312" w:hAnsi="仿宋_GB2312" w:eastAsia="仿宋_GB2312" w:cs="仿宋_GB2312"/>
          <w:color w:val="auto"/>
          <w:sz w:val="30"/>
          <w:szCs w:val="30"/>
        </w:rPr>
        <w:t>《安全使用及消防责任告知书 》</w:t>
      </w:r>
      <w:r>
        <w:rPr>
          <w:rFonts w:hint="eastAsia" w:ascii="仿宋_GB2312" w:hAnsi="仿宋_GB2312" w:eastAsia="仿宋_GB2312" w:cs="仿宋_GB2312"/>
          <w:sz w:val="30"/>
          <w:szCs w:val="30"/>
        </w:rPr>
        <w:t>各项内容，履行安全使用义务、承担消防安全责任。</w:t>
      </w:r>
    </w:p>
    <w:p w14:paraId="1D790F8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7.8甲方有权对乙方使用租赁物的情况进行不定期检查和监督，发现乙方有违反合同约定情形，有权要求乙方立即改正。</w:t>
      </w:r>
    </w:p>
    <w:p w14:paraId="71A706D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7.9乙方违反约定使用租赁物及附属设施设备造成损坏的，应当立即进行修复并恢复原状，乙方拒不修复的，乙方应当按照</w:t>
      </w:r>
      <w:r>
        <w:rPr>
          <w:rFonts w:hint="eastAsia" w:ascii="仿宋_GB2312" w:hAnsi="仿宋_GB2312" w:eastAsia="仿宋_GB2312" w:cs="仿宋_GB2312"/>
          <w:sz w:val="30"/>
          <w:szCs w:val="30"/>
          <w:lang w:eastAsia="zh-CN"/>
        </w:rPr>
        <w:t>当年度租金</w:t>
      </w:r>
      <w:r>
        <w:rPr>
          <w:rFonts w:hint="eastAsia" w:ascii="仿宋_GB2312" w:hAnsi="仿宋_GB2312" w:eastAsia="仿宋_GB2312" w:cs="仿宋_GB2312"/>
          <w:sz w:val="30"/>
          <w:szCs w:val="30"/>
        </w:rPr>
        <w:t>的20%支付违约金，给甲方造成的实际损失高于违约金的，乙方应当据实赔偿。</w:t>
      </w:r>
    </w:p>
    <w:p w14:paraId="3A2E752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7.10租赁期间，租赁物及附属设施设备的维护维修由乙方负责并承担费用（但按照法律法规属于</w:t>
      </w:r>
      <w:r>
        <w:rPr>
          <w:rFonts w:hint="eastAsia" w:ascii="仿宋_GB2312" w:hAnsi="仿宋_GB2312" w:eastAsia="仿宋_GB2312" w:cs="仿宋_GB2312"/>
          <w:color w:val="auto"/>
          <w:sz w:val="30"/>
          <w:szCs w:val="30"/>
          <w:lang w:eastAsia="zh-CN"/>
        </w:rPr>
        <w:t>原</w:t>
      </w:r>
      <w:r>
        <w:rPr>
          <w:rFonts w:hint="eastAsia" w:ascii="仿宋_GB2312" w:hAnsi="仿宋_GB2312" w:eastAsia="仿宋_GB2312" w:cs="仿宋_GB2312"/>
          <w:sz w:val="30"/>
          <w:szCs w:val="30"/>
        </w:rPr>
        <w:t>施工单位保修范围和</w:t>
      </w:r>
      <w:r>
        <w:rPr>
          <w:rFonts w:hint="eastAsia" w:ascii="仿宋_GB2312" w:hAnsi="仿宋_GB2312" w:eastAsia="仿宋_GB2312" w:cs="仿宋_GB2312"/>
          <w:sz w:val="30"/>
          <w:szCs w:val="30"/>
          <w:lang w:eastAsia="zh-Hans"/>
        </w:rPr>
        <w:t>保修</w:t>
      </w:r>
      <w:r>
        <w:rPr>
          <w:rFonts w:hint="eastAsia" w:ascii="仿宋_GB2312" w:hAnsi="仿宋_GB2312" w:eastAsia="仿宋_GB2312" w:cs="仿宋_GB2312"/>
          <w:sz w:val="30"/>
          <w:szCs w:val="30"/>
        </w:rPr>
        <w:t>期限内的除外），因乙方使用不当或未及时维护维修导致租赁物或附属设施设备损坏的，由乙方依法赔偿。租赁期间，租赁房屋的结构性维修由甲方负责。乙方装修改建部分的维修由乙方承担。非由房屋结构性原因发生的各项损失（包含各种原因引起的漏水、墙面渗漏导致的损失）由乙方自行承担。</w:t>
      </w:r>
    </w:p>
    <w:p w14:paraId="22B01B0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7.11租赁期间，房屋内商业设备及商品保险由乙方负责，且乙方在经营过程中要落实好消防责任制和保护措施。乙方应确保防火、用水用电等安全，由于乙方原因或乙方管理不善而引起之火灾、漏水或渗水事故及因火灾、漏水或渗水事故而导致公共区域或相邻其他单位蒙受损失，有关损失及附带维修赔偿由乙方负责。</w:t>
      </w:r>
    </w:p>
    <w:p w14:paraId="1CB8F81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7.12租赁期间乙方是该房屋的实际管理人，该房屋内发生的所有安全事故都由乙方承担，与甲方无关，包括但不限于高空抛物、水电气的使用不当、在屋内摔倒等给乙方和乙方同住人造成的人员伤亡，甲方都不承担任何责任。</w:t>
      </w:r>
    </w:p>
    <w:p w14:paraId="435258DD">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FF0000"/>
          <w:kern w:val="0"/>
          <w:sz w:val="30"/>
          <w:szCs w:val="30"/>
        </w:rPr>
      </w:pPr>
      <w:r>
        <w:rPr>
          <w:rFonts w:hint="eastAsia" w:ascii="仿宋_GB2312" w:hAnsi="仿宋_GB2312" w:eastAsia="仿宋_GB2312" w:cs="仿宋_GB2312"/>
          <w:kern w:val="0"/>
          <w:sz w:val="30"/>
          <w:szCs w:val="30"/>
          <w:lang w:val="en-US" w:eastAsia="zh-CN"/>
        </w:rPr>
        <w:t>7.13</w:t>
      </w:r>
      <w:r>
        <w:rPr>
          <w:rFonts w:hint="eastAsia" w:ascii="仿宋_GB2312" w:hAnsi="仿宋_GB2312" w:eastAsia="仿宋_GB2312" w:cs="仿宋_GB2312"/>
          <w:kern w:val="0"/>
          <w:sz w:val="30"/>
          <w:szCs w:val="30"/>
        </w:rPr>
        <w:t>乙方除经营所需外，不得在承租房屋内存放易燃易爆等危险物品，未经甲方许可不得将有毒或爆炸物品带入房屋，如违反该义务，造成甲方或者任意第三方损失的，全部法律责任由乙方承担。</w:t>
      </w:r>
      <w:r>
        <w:rPr>
          <w:rFonts w:hint="eastAsia" w:ascii="仿宋_GB2312" w:hAnsi="仿宋_GB2312" w:eastAsia="仿宋_GB2312" w:cs="仿宋_GB2312"/>
          <w:color w:val="FF0000"/>
          <w:kern w:val="0"/>
          <w:sz w:val="30"/>
          <w:szCs w:val="30"/>
        </w:rPr>
        <w:t xml:space="preserve"> </w:t>
      </w:r>
    </w:p>
    <w:p w14:paraId="2EF9A780">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auto"/>
          <w:kern w:val="0"/>
          <w:sz w:val="30"/>
          <w:szCs w:val="30"/>
          <w:highlight w:val="none"/>
        </w:rPr>
      </w:pPr>
      <w:r>
        <w:rPr>
          <w:rFonts w:hint="eastAsia" w:ascii="仿宋_GB2312" w:hAnsi="仿宋_GB2312" w:eastAsia="仿宋_GB2312" w:cs="仿宋_GB2312"/>
          <w:color w:val="auto"/>
          <w:kern w:val="0"/>
          <w:sz w:val="30"/>
          <w:szCs w:val="30"/>
          <w:highlight w:val="none"/>
        </w:rPr>
        <w:t>7.</w:t>
      </w:r>
      <w:r>
        <w:rPr>
          <w:rFonts w:hint="eastAsia" w:ascii="仿宋_GB2312" w:hAnsi="仿宋_GB2312" w:eastAsia="仿宋_GB2312" w:cs="仿宋_GB2312"/>
          <w:color w:val="auto"/>
          <w:kern w:val="0"/>
          <w:sz w:val="30"/>
          <w:szCs w:val="30"/>
          <w:highlight w:val="none"/>
          <w:lang w:val="en-US" w:eastAsia="zh-CN"/>
        </w:rPr>
        <w:t>14</w:t>
      </w:r>
      <w:r>
        <w:rPr>
          <w:rFonts w:hint="eastAsia" w:ascii="仿宋_GB2312" w:hAnsi="仿宋_GB2312" w:eastAsia="仿宋_GB2312" w:cs="仿宋_GB2312"/>
          <w:color w:val="auto"/>
          <w:kern w:val="0"/>
          <w:sz w:val="30"/>
          <w:szCs w:val="30"/>
          <w:highlight w:val="none"/>
        </w:rPr>
        <w:t>租赁物如</w:t>
      </w:r>
      <w:r>
        <w:rPr>
          <w:rFonts w:hint="eastAsia" w:ascii="仿宋_GB2312" w:hAnsi="仿宋_GB2312" w:eastAsia="仿宋_GB2312" w:cs="仿宋_GB2312"/>
          <w:color w:val="auto"/>
          <w:kern w:val="0"/>
          <w:sz w:val="30"/>
          <w:szCs w:val="30"/>
          <w:highlight w:val="none"/>
          <w:lang w:eastAsia="zh-CN"/>
        </w:rPr>
        <w:t>限定业态竞争约定的，乙方不得擅自</w:t>
      </w:r>
      <w:r>
        <w:rPr>
          <w:rFonts w:hint="eastAsia" w:ascii="仿宋_GB2312" w:hAnsi="仿宋_GB2312" w:eastAsia="仿宋_GB2312" w:cs="仿宋_GB2312"/>
          <w:color w:val="auto"/>
          <w:kern w:val="0"/>
          <w:sz w:val="30"/>
          <w:szCs w:val="30"/>
          <w:highlight w:val="none"/>
        </w:rPr>
        <w:t>与他人或自营同类项目。乙方违反前述约定的，甲方可随时解除合同。甲方按前述原因解除合同的，房屋租金据实收取，乙方已交的租房押金作为违约金不再退还，乙方因此给甲方造成损失的，相关损失由乙方承担</w:t>
      </w:r>
      <w:r>
        <w:rPr>
          <w:rFonts w:hint="eastAsia" w:ascii="仿宋_GB2312" w:hAnsi="仿宋_GB2312" w:eastAsia="仿宋_GB2312" w:cs="仿宋_GB2312"/>
          <w:color w:val="auto"/>
          <w:kern w:val="0"/>
          <w:sz w:val="30"/>
          <w:szCs w:val="30"/>
          <w:highlight w:val="none"/>
          <w:lang w:val="en-US" w:eastAsia="zh-CN"/>
        </w:rPr>
        <w:t>(如有）</w:t>
      </w:r>
      <w:r>
        <w:rPr>
          <w:rFonts w:hint="eastAsia" w:ascii="仿宋_GB2312" w:hAnsi="仿宋_GB2312" w:eastAsia="仿宋_GB2312" w:cs="仿宋_GB2312"/>
          <w:color w:val="auto"/>
          <w:kern w:val="0"/>
          <w:sz w:val="30"/>
          <w:szCs w:val="30"/>
          <w:highlight w:val="none"/>
        </w:rPr>
        <w:t>。</w:t>
      </w:r>
    </w:p>
    <w:p w14:paraId="07C87F00">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第八条 租赁物的装修装饰</w:t>
      </w:r>
    </w:p>
    <w:p w14:paraId="72A251C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8.1租赁期间乙方可以对租赁物进行适当的装修装饰，乙方的装修方案须向甲方和物业公司备案，并按规定自行报相关职能部门审批同意后方可施工。</w:t>
      </w:r>
    </w:p>
    <w:p w14:paraId="14F981B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8.2乙方实施装修装饰时，不得破坏租赁物的建筑主体和承重结构，不得破坏租赁物的整体外立面形象，不得擅自更改消防管线及水电线路。甲方发现乙方有上述情形的，有权要求乙方立即停止装修装饰、恢复原状，造成甲方损失的由乙方依法赔偿。</w:t>
      </w:r>
    </w:p>
    <w:p w14:paraId="63C185D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8.3因装修装饰产生的费用（包含但不限于装修押金、装修费用、垃圾清运费、临时水电费等）均由乙方自负。</w:t>
      </w:r>
    </w:p>
    <w:p w14:paraId="0BE04D8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8.4装修装饰完成后，涉及消防验收等事项的，由乙方自行办理并承担费用，消防验收通过前不得使用。</w:t>
      </w:r>
    </w:p>
    <w:p w14:paraId="30DD5DC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14:paraId="081105B2">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第九条 租赁物的处置</w:t>
      </w:r>
    </w:p>
    <w:p w14:paraId="548E4C6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9.1租赁期间，甲方有权转让租赁物，转让前甲方应当依法通知乙方，在同等条件下乙方享有优先购买权。乙方不行使优先购买权的，租赁物转让后，本合同对新权利人和乙方继续有效</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（竞买须知已约定放弃优先购买权的按约定）</w:t>
      </w:r>
    </w:p>
    <w:p w14:paraId="15B2E5F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9.2租赁期</w:t>
      </w:r>
      <w:r>
        <w:rPr>
          <w:rFonts w:hint="eastAsia" w:ascii="仿宋_GB2312" w:hAnsi="仿宋_GB2312" w:eastAsia="仿宋_GB2312" w:cs="仿宋_GB2312"/>
          <w:sz w:val="30"/>
          <w:szCs w:val="30"/>
          <w:lang w:eastAsia="zh-Hans"/>
        </w:rPr>
        <w:t>间内</w:t>
      </w:r>
      <w:r>
        <w:rPr>
          <w:rFonts w:hint="eastAsia" w:ascii="仿宋_GB2312" w:hAnsi="仿宋_GB2312" w:eastAsia="仿宋_GB2312" w:cs="仿宋_GB2312"/>
          <w:sz w:val="30"/>
          <w:szCs w:val="30"/>
        </w:rPr>
        <w:t>，甲方可将租赁物进行抵押，但不应影响本租赁合同的有效性。</w:t>
      </w:r>
    </w:p>
    <w:p w14:paraId="540177ED">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第十条合同终止</w:t>
      </w:r>
    </w:p>
    <w:p w14:paraId="667D3CB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10.1 乙方有下列情形之一的，甲方可以提前终止合同</w:t>
      </w:r>
    </w:p>
    <w:p w14:paraId="356584AF">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①乙方拖欠租金超过一个月的；</w:t>
      </w:r>
    </w:p>
    <w:p w14:paraId="14930AA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2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②</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乙方违反本合同第7.2款，擅自将房屋转租、转让或转借的；</w:t>
      </w:r>
    </w:p>
    <w:p w14:paraId="46121A7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3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③</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乙方违反本合同第7.3款，擅自改变房屋用途或结构未书面通知甲方的；</w:t>
      </w:r>
    </w:p>
    <w:p w14:paraId="4356AE5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4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④</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乙方存在违约行为或损害甲方利益的行为，经甲方书面通知10日内不予改正的；</w:t>
      </w:r>
    </w:p>
    <w:p w14:paraId="5779A4F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5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⑤</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乙方利用承租房屋进行违法经营活动，损害公共利益的；</w:t>
      </w:r>
    </w:p>
    <w:p w14:paraId="0402A61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6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⑥</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lang w:val="zh-CN"/>
        </w:rPr>
        <w:t>乙方非法在出租房屋上设置抵押、担保等他项权利的；</w:t>
      </w:r>
    </w:p>
    <w:p w14:paraId="207E7DD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⑦政府相关职能部门或甲方在安全生产检查中发现乙方的经营存在安全隐患要求乙方限期整改，乙方未及时整改的。</w:t>
      </w:r>
    </w:p>
    <w:p w14:paraId="074D03E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10.2 因政府公权力机关、事业单位及公益性组织出于公益目的需要使用租赁标的，甲方需对租赁标的自行使用的，可单方面提前终止合同。</w:t>
      </w:r>
    </w:p>
    <w:p w14:paraId="315733B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10.3 任</w:t>
      </w:r>
      <w:r>
        <w:rPr>
          <w:rFonts w:hint="eastAsia" w:ascii="仿宋_GB2312" w:hAnsi="仿宋_GB2312" w:eastAsia="仿宋_GB2312" w:cs="仿宋_GB2312"/>
          <w:sz w:val="30"/>
          <w:szCs w:val="30"/>
          <w:highlight w:val="none"/>
          <w:lang w:eastAsia="zh-CN"/>
        </w:rPr>
        <w:t>意</w:t>
      </w:r>
      <w:r>
        <w:rPr>
          <w:rFonts w:hint="eastAsia" w:ascii="仿宋_GB2312" w:hAnsi="仿宋_GB2312" w:eastAsia="仿宋_GB2312" w:cs="仿宋_GB2312"/>
          <w:sz w:val="30"/>
          <w:szCs w:val="30"/>
          <w:highlight w:val="none"/>
        </w:rPr>
        <w:t>一方提前3个月书面通知对方，可提前终止合同。</w:t>
      </w:r>
    </w:p>
    <w:p w14:paraId="26303B1A">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第十一条 不可抗力</w:t>
      </w:r>
    </w:p>
    <w:p w14:paraId="709B220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sz w:val="30"/>
          <w:szCs w:val="30"/>
        </w:rPr>
        <w:t>11.1租赁期间，</w:t>
      </w:r>
      <w:r>
        <w:rPr>
          <w:rFonts w:hint="eastAsia" w:ascii="仿宋_GB2312" w:hAnsi="仿宋_GB2312" w:eastAsia="仿宋_GB2312" w:cs="仿宋_GB2312"/>
          <w:color w:val="000000"/>
          <w:sz w:val="30"/>
          <w:szCs w:val="30"/>
        </w:rPr>
        <w:t>因不可抗力或其他不可归责于一方的原因导致租赁合同无法继续履行的，遭遇不可抗力的一方有权要求提前终止合同且无须承担违约责任，租金据实结算。</w:t>
      </w:r>
    </w:p>
    <w:p w14:paraId="0DC35E9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11.2遭遇不可抗力的一方应在不可抗力发生后及时通知另一方，因未及时通知给另一方造成损害的，应当承担相应的赔偿责任。</w:t>
      </w:r>
    </w:p>
    <w:p w14:paraId="0B8832B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lang w:val="zh-CN" w:eastAsia="zh-CN"/>
        </w:rPr>
      </w:pPr>
      <w:r>
        <w:rPr>
          <w:rFonts w:hint="eastAsia" w:ascii="仿宋_GB2312" w:hAnsi="仿宋_GB2312" w:eastAsia="仿宋_GB2312" w:cs="仿宋_GB2312"/>
          <w:color w:val="auto"/>
          <w:sz w:val="30"/>
          <w:szCs w:val="30"/>
          <w:highlight w:val="none"/>
        </w:rPr>
        <w:t>11.3租</w:t>
      </w:r>
      <w:r>
        <w:rPr>
          <w:rFonts w:hint="eastAsia" w:ascii="仿宋_GB2312" w:hAnsi="仿宋_GB2312" w:eastAsia="仿宋_GB2312" w:cs="仿宋_GB2312"/>
          <w:color w:val="000000"/>
          <w:sz w:val="30"/>
          <w:szCs w:val="30"/>
          <w:highlight w:val="none"/>
        </w:rPr>
        <w:t>赁物</w:t>
      </w:r>
      <w:r>
        <w:rPr>
          <w:rFonts w:hint="eastAsia" w:ascii="仿宋_GB2312" w:hAnsi="仿宋_GB2312" w:eastAsia="仿宋_GB2312" w:cs="仿宋_GB2312"/>
          <w:color w:val="000000"/>
          <w:sz w:val="30"/>
          <w:szCs w:val="30"/>
          <w:highlight w:val="none"/>
          <w:lang w:val="zh-CN" w:eastAsia="zh-CN"/>
        </w:rPr>
        <w:t>因国家政策、规划或其他政府原因需要征拆本合同所涉房屋土地或收回房屋土地等情形的</w:t>
      </w:r>
      <w:r>
        <w:rPr>
          <w:rFonts w:hint="eastAsia" w:ascii="仿宋_GB2312" w:hAnsi="仿宋_GB2312" w:eastAsia="仿宋_GB2312" w:cs="仿宋_GB2312"/>
          <w:color w:val="auto"/>
          <w:sz w:val="30"/>
          <w:szCs w:val="30"/>
          <w:highlight w:val="none"/>
        </w:rPr>
        <w:t>，甲方有权要求提前终止合同且无须承担违约责任，</w:t>
      </w:r>
      <w:r>
        <w:rPr>
          <w:rFonts w:hint="eastAsia" w:ascii="仿宋_GB2312" w:hAnsi="仿宋_GB2312" w:eastAsia="仿宋_GB2312" w:cs="仿宋_GB2312"/>
          <w:color w:val="000000"/>
          <w:sz w:val="30"/>
          <w:szCs w:val="30"/>
          <w:highlight w:val="none"/>
        </w:rPr>
        <w:t>乙方应按照甲方通知的时间配合搬离及腾空租赁物。</w:t>
      </w:r>
      <w:r>
        <w:rPr>
          <w:rFonts w:hint="eastAsia" w:ascii="仿宋_GB2312" w:hAnsi="仿宋_GB2312" w:eastAsia="仿宋_GB2312" w:cs="仿宋_GB2312"/>
          <w:color w:val="000000"/>
          <w:sz w:val="30"/>
          <w:szCs w:val="30"/>
          <w:highlight w:val="none"/>
          <w:lang w:val="zh-CN" w:eastAsia="zh-CN"/>
        </w:rPr>
        <w:t>该征拆、收回房屋土地获得的房屋土地价值补偿款、甲方投入的附属物价值补偿款、货币补偿补助、签约搬迁奖励，归甲方所有；乙方投入的装修附属物价值补偿款、一次性搬迁及临时安置费、停产停业损失费、重大设施搬迁损失费，归乙方所有。若遇房屋土地征收补偿政策调整，按照相关新政策执行。乙方应在收到甲方通知后在拆迁征收规定期限内无条件腾空房屋土地并交还给甲方。双方办结租赁物移交手续后，甲方应一次性无息退还未到期的剩余租金，乙方不得以任何理由延迟腾退期限且不得因租赁物被征拆、收回而向甲方主张其他任何经济补偿或赔偿。如乙方逾期不腾退，乙方除按日支付甲方原约定租金的双倍作为逾期腾退的租金外，乙方需赔偿甲方因乙方逾期腾退而丧失的可得利益（包括甲方丧失的签约搬迁奖励等）。</w:t>
      </w:r>
    </w:p>
    <w:p w14:paraId="6B1D5FA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第十二条 违约责任</w:t>
      </w:r>
    </w:p>
    <w:p w14:paraId="68C9D08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12.1在租赁期满后或合同终止后，乙方未按时腾房的，每日租金按照原租金的双倍支付房屋占用费。</w:t>
      </w:r>
    </w:p>
    <w:p w14:paraId="5732245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12.2甲方按照本合同10.1款约定终止合同的，乙方已交房租及</w:t>
      </w:r>
      <w:r>
        <w:rPr>
          <w:rFonts w:hint="eastAsia" w:ascii="仿宋_GB2312" w:hAnsi="仿宋_GB2312" w:eastAsia="仿宋_GB2312" w:cs="仿宋_GB2312"/>
          <w:color w:val="000000"/>
          <w:sz w:val="30"/>
          <w:szCs w:val="30"/>
          <w:highlight w:val="none"/>
          <w:lang w:eastAsia="zh-CN"/>
        </w:rPr>
        <w:t>履约保证金</w:t>
      </w:r>
      <w:r>
        <w:rPr>
          <w:rFonts w:hint="eastAsia" w:ascii="仿宋_GB2312" w:hAnsi="仿宋_GB2312" w:eastAsia="仿宋_GB2312" w:cs="仿宋_GB2312"/>
          <w:color w:val="000000"/>
          <w:sz w:val="30"/>
          <w:szCs w:val="30"/>
          <w:highlight w:val="none"/>
        </w:rPr>
        <w:t>不予返还，乙方按年租金的20%向甲方另行支付违约金。如果乙方的行为造成甲方损失的，甲方仍可要求乙方赔偿。</w:t>
      </w:r>
    </w:p>
    <w:p w14:paraId="79BA436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color w:val="000000"/>
          <w:sz w:val="30"/>
          <w:szCs w:val="30"/>
          <w:highlight w:val="none"/>
        </w:rPr>
        <w:t>12.3</w:t>
      </w:r>
      <w:r>
        <w:rPr>
          <w:rFonts w:hint="eastAsia" w:ascii="仿宋_GB2312" w:hAnsi="仿宋_GB2312" w:eastAsia="仿宋_GB2312" w:cs="仿宋_GB2312"/>
          <w:sz w:val="30"/>
          <w:szCs w:val="30"/>
          <w:highlight w:val="none"/>
        </w:rPr>
        <w:t>乙方按照本合同10.3条约定提前终止合同的，履约保证金不予返还，房租按实结算。</w:t>
      </w:r>
    </w:p>
    <w:p w14:paraId="46235B4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12.4甲方按照本合同10.2、10.3条约定提前终止合同的，按履约保证金同等金额向乙方支付违约金，房租按实结算，同时在乙方结清水电物业等相关费用后，甲方向乙方退还租房履约保证金。</w:t>
      </w:r>
    </w:p>
    <w:p w14:paraId="06E2FD5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12.5甲方按照本合同10.2、10.3条约定提前终止合同的，房屋内固定装修的折旧期同租赁期，甲方和乙方共同委托会计事务所或评估事务所对实际存在的剩余年限的装修按市场价格进行评估，甲方按照该评估价支付给乙方作为补偿。</w:t>
      </w:r>
    </w:p>
    <w:p w14:paraId="10252C8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12.6租赁期间，乙方同意在乙方拖欠本合同约定的租金或物业综合费或其他应付费用且经甲方催讨后十日内仍不支付时，甲方有权采取以下措施：无论乙方是否已支付该房屋水、电等公用事业费用</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甲方有权关闭该房屋水、电相关设施的开关并停止向该房屋提供其他物业管理服务直至乙方付清拖欠费用及违约金。由此造成对乙方营业的影响，甲方无需承担任何责任。同时乙方应承担甲方采取本条措施期间的该房屋租金、管理费和本合同约定的其他任何费用及重新接驳水、电及其他公用设备的费用。</w:t>
      </w:r>
    </w:p>
    <w:p w14:paraId="604B33E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12.7本合同相关条款已对违约情形及违约责任进行约定的，按照相关条款的约定执行。</w:t>
      </w:r>
    </w:p>
    <w:p w14:paraId="11E2450F">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第十三条特别约定事项</w:t>
      </w:r>
    </w:p>
    <w:p w14:paraId="1A8D337E">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13.1</w:t>
      </w:r>
      <w:r>
        <w:rPr>
          <w:rFonts w:hint="eastAsia" w:ascii="仿宋_GB2312" w:hAnsi="仿宋_GB2312" w:eastAsia="仿宋_GB2312" w:cs="仿宋_GB2312"/>
          <w:sz w:val="30"/>
          <w:szCs w:val="30"/>
          <w:u w:val="single"/>
        </w:rPr>
        <w:t xml:space="preserve">                                             </w:t>
      </w:r>
    </w:p>
    <w:p w14:paraId="3B8C5EA1">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四</w:t>
      </w:r>
      <w:r>
        <w:rPr>
          <w:rFonts w:hint="eastAsia" w:ascii="仿宋_GB2312" w:hAnsi="仿宋_GB2312" w:eastAsia="仿宋_GB2312" w:cs="仿宋_GB2312"/>
          <w:b/>
          <w:sz w:val="30"/>
          <w:szCs w:val="30"/>
        </w:rPr>
        <w:t>条 争议解决</w:t>
      </w:r>
    </w:p>
    <w:p w14:paraId="05984CC1">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.1本合同履行过程中如有纠纷，双方协商解决，协商不成的提交</w:t>
      </w:r>
      <w:r>
        <w:rPr>
          <w:rFonts w:hint="eastAsia" w:ascii="仿宋_GB2312" w:hAnsi="仿宋_GB2312" w:eastAsia="仿宋_GB2312" w:cs="仿宋_GB2312"/>
          <w:sz w:val="30"/>
          <w:szCs w:val="30"/>
          <w:lang w:eastAsia="zh-CN"/>
        </w:rPr>
        <w:t>租赁物所在地</w:t>
      </w:r>
      <w:r>
        <w:rPr>
          <w:rFonts w:hint="eastAsia" w:ascii="仿宋_GB2312" w:hAnsi="仿宋_GB2312" w:eastAsia="仿宋_GB2312" w:cs="仿宋_GB2312"/>
          <w:sz w:val="30"/>
          <w:szCs w:val="30"/>
        </w:rPr>
        <w:t>法院诉讼解决。</w:t>
      </w:r>
    </w:p>
    <w:p w14:paraId="2FD2B056">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.2守约方因维权支出的合理费用（包括但不限于案件受理费、保全费、律师费、公证费等），由违约方承担。</w:t>
      </w:r>
    </w:p>
    <w:p w14:paraId="557BE5A7">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五</w:t>
      </w:r>
      <w:r>
        <w:rPr>
          <w:rFonts w:hint="eastAsia" w:ascii="仿宋_GB2312" w:hAnsi="仿宋_GB2312" w:eastAsia="仿宋_GB2312" w:cs="仿宋_GB2312"/>
          <w:b/>
          <w:sz w:val="30"/>
          <w:szCs w:val="30"/>
        </w:rPr>
        <w:t>条 通知及送达</w:t>
      </w:r>
    </w:p>
    <w:p w14:paraId="5040E77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.1甲乙双方确认以文首部分的通讯地址及联系方式作为本合同履行过程中双方互相发送书面资料的有效地址，若发</w:t>
      </w:r>
      <w:r>
        <w:rPr>
          <w:rFonts w:hint="eastAsia" w:ascii="仿宋_GB2312" w:hAnsi="仿宋_GB2312" w:eastAsia="仿宋_GB2312" w:cs="仿宋_GB2312"/>
          <w:sz w:val="30"/>
          <w:szCs w:val="30"/>
          <w:lang w:eastAsia="zh-Hans"/>
        </w:rPr>
        <w:t>生</w:t>
      </w:r>
      <w:r>
        <w:rPr>
          <w:rFonts w:hint="eastAsia" w:ascii="仿宋_GB2312" w:hAnsi="仿宋_GB2312" w:eastAsia="仿宋_GB2312" w:cs="仿宋_GB2312"/>
          <w:sz w:val="30"/>
          <w:szCs w:val="30"/>
        </w:rPr>
        <w:t>司法诉讼的，该地址作为司法机关向双方送达司法文书的有效地址。</w:t>
      </w:r>
    </w:p>
    <w:p w14:paraId="6A6BF46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.2一方的通讯地址及联系方式发生变更的，应当及时告知对方，未及时告知产生的不利后果由变更方自行承担。</w:t>
      </w:r>
    </w:p>
    <w:p w14:paraId="59953BF7">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六</w:t>
      </w:r>
      <w:r>
        <w:rPr>
          <w:rFonts w:hint="eastAsia" w:ascii="仿宋_GB2312" w:hAnsi="仿宋_GB2312" w:eastAsia="仿宋_GB2312" w:cs="仿宋_GB2312"/>
          <w:b/>
          <w:sz w:val="30"/>
          <w:szCs w:val="30"/>
        </w:rPr>
        <w:t>条 其他</w:t>
      </w:r>
    </w:p>
    <w:p w14:paraId="1C1B9CF6">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.1本合同未尽事宜，甲、乙双方可另行签订补充协议，其效力与本合同等同。</w:t>
      </w:r>
    </w:p>
    <w:p w14:paraId="37D2F4C9">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本合同的附件包括：</w:t>
      </w:r>
    </w:p>
    <w:p w14:paraId="4E5B196F">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.1租赁物产权证明【如有】</w:t>
      </w:r>
    </w:p>
    <w:p w14:paraId="6432982D">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.2附属设施设备清单【如有】</w:t>
      </w:r>
    </w:p>
    <w:p w14:paraId="57D0E6F1">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.3安全使用及消防责任告知书</w:t>
      </w:r>
    </w:p>
    <w:p w14:paraId="7DF6D036">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16.2.4 其他认为有必要的资料【如有】</w:t>
      </w:r>
    </w:p>
    <w:p w14:paraId="1C745FB4">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b w:val="0"/>
          <w:bCs/>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3</w:t>
      </w:r>
      <w:r>
        <w:rPr>
          <w:rFonts w:hint="eastAsia" w:ascii="仿宋_GB2312" w:hAnsi="仿宋_GB2312" w:eastAsia="仿宋_GB2312" w:cs="仿宋_GB2312"/>
          <w:b w:val="0"/>
          <w:bCs/>
          <w:sz w:val="30"/>
          <w:szCs w:val="30"/>
        </w:rPr>
        <w:t>本合同经双方签字或盖章后生效。</w:t>
      </w:r>
    </w:p>
    <w:p w14:paraId="1688C721">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4</w:t>
      </w:r>
      <w:r>
        <w:rPr>
          <w:rFonts w:hint="eastAsia" w:ascii="仿宋_GB2312" w:hAnsi="仿宋_GB2312" w:eastAsia="仿宋_GB2312" w:cs="仿宋_GB2312"/>
          <w:sz w:val="30"/>
          <w:szCs w:val="30"/>
        </w:rPr>
        <w:t>本合同一式</w:t>
      </w:r>
      <w:r>
        <w:rPr>
          <w:rFonts w:hint="eastAsia" w:ascii="仿宋_GB2312" w:hAnsi="仿宋_GB2312" w:eastAsia="仿宋_GB2312" w:cs="仿宋_GB2312"/>
          <w:sz w:val="30"/>
          <w:szCs w:val="30"/>
          <w:lang w:eastAsia="zh-CN"/>
        </w:rPr>
        <w:t>伍</w:t>
      </w:r>
      <w:r>
        <w:rPr>
          <w:rFonts w:hint="eastAsia" w:ascii="仿宋_GB2312" w:hAnsi="仿宋_GB2312" w:eastAsia="仿宋_GB2312" w:cs="仿宋_GB2312"/>
          <w:sz w:val="30"/>
          <w:szCs w:val="30"/>
        </w:rPr>
        <w:t>份，甲</w:t>
      </w:r>
      <w:r>
        <w:rPr>
          <w:rFonts w:hint="eastAsia" w:ascii="仿宋_GB2312" w:hAnsi="仿宋_GB2312" w:eastAsia="仿宋_GB2312" w:cs="仿宋_GB2312"/>
          <w:sz w:val="30"/>
          <w:szCs w:val="30"/>
          <w:lang w:eastAsia="zh-CN"/>
        </w:rPr>
        <w:t>方执叁份，</w:t>
      </w:r>
      <w:r>
        <w:rPr>
          <w:rFonts w:hint="eastAsia" w:ascii="仿宋_GB2312" w:hAnsi="仿宋_GB2312" w:eastAsia="仿宋_GB2312" w:cs="仿宋_GB2312"/>
          <w:sz w:val="30"/>
          <w:szCs w:val="30"/>
        </w:rPr>
        <w:t>乙方执贰份，具有同等法律效力。</w:t>
      </w:r>
    </w:p>
    <w:p w14:paraId="129A9BDC">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1F05793C">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0B3F423C">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323F7788">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（以下无协议正文）</w:t>
      </w:r>
    </w:p>
    <w:p w14:paraId="4B9C9BB8">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182D2C5A">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1E28F028">
      <w:pPr>
        <w:keepNext w:val="0"/>
        <w:keepLines w:val="0"/>
        <w:pageBreakBefore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5D7792B6">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甲方（签章）：                  乙方（签章）：</w:t>
      </w:r>
    </w:p>
    <w:p w14:paraId="5521971C">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p>
    <w:p w14:paraId="0F6DCA3F">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日期：    年  月 日            日期：   年  月  日</w:t>
      </w:r>
    </w:p>
    <w:p w14:paraId="63E261B6">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0243231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0799BAF7">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73EADC90">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highlight w:val="none"/>
        </w:rPr>
      </w:pPr>
    </w:p>
    <w:p w14:paraId="02D1B344">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6D208614">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3A445579">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01FCFA86">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0C38330D">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761D2DA4">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4449906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140AB250">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782F74E">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088F17F">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1229480B">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2"/>
          <w:szCs w:val="32"/>
          <w:highlight w:val="none"/>
        </w:rPr>
      </w:pPr>
    </w:p>
    <w:p w14:paraId="79453D86">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lang w:eastAsia="zh-CN"/>
        </w:rPr>
      </w:pPr>
      <w:r>
        <w:rPr>
          <w:rFonts w:hint="eastAsia" w:ascii="仿宋_GB2312" w:hAnsi="仿宋_GB2312" w:eastAsia="仿宋_GB2312" w:cs="仿宋_GB2312"/>
          <w:b/>
          <w:sz w:val="32"/>
          <w:szCs w:val="32"/>
          <w:highlight w:val="none"/>
        </w:rPr>
        <w:t>租赁物安全使用及消防责任告知书</w:t>
      </w:r>
      <w:r>
        <w:rPr>
          <w:rFonts w:hint="eastAsia" w:ascii="仿宋_GB2312" w:hAnsi="仿宋_GB2312" w:eastAsia="仿宋_GB2312" w:cs="仿宋_GB2312"/>
          <w:b/>
          <w:sz w:val="32"/>
          <w:szCs w:val="32"/>
          <w:highlight w:val="none"/>
          <w:lang w:eastAsia="zh-CN"/>
        </w:rPr>
        <w:t>（</w:t>
      </w:r>
      <w:r>
        <w:rPr>
          <w:rFonts w:hint="eastAsia" w:ascii="仿宋_GB2312" w:hAnsi="仿宋_GB2312" w:eastAsia="仿宋_GB2312" w:cs="仿宋_GB2312"/>
          <w:b/>
          <w:sz w:val="32"/>
          <w:szCs w:val="32"/>
          <w:highlight w:val="none"/>
          <w:lang w:val="en-US" w:eastAsia="zh-CN"/>
        </w:rPr>
        <w:t>商铺、办公类</w:t>
      </w:r>
      <w:r>
        <w:rPr>
          <w:rFonts w:hint="eastAsia" w:ascii="仿宋_GB2312" w:hAnsi="仿宋_GB2312" w:eastAsia="仿宋_GB2312" w:cs="仿宋_GB2312"/>
          <w:b/>
          <w:sz w:val="32"/>
          <w:szCs w:val="32"/>
          <w:highlight w:val="none"/>
          <w:lang w:eastAsia="zh-CN"/>
        </w:rPr>
        <w:t>）</w:t>
      </w:r>
    </w:p>
    <w:p w14:paraId="7F04663E">
      <w:pPr>
        <w:keepNext w:val="0"/>
        <w:keepLines w:val="0"/>
        <w:pageBreakBefore w:val="0"/>
        <w:widowControl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71F8BFBD">
      <w:pPr>
        <w:keepNext w:val="0"/>
        <w:keepLines w:val="0"/>
        <w:pageBreakBefore w:val="0"/>
        <w:widowControl w:val="0"/>
        <w:kinsoku/>
        <w:wordWrap/>
        <w:overflowPunct/>
        <w:topLinePunct w:val="0"/>
        <w:autoSpaceDE/>
        <w:autoSpaceDN/>
        <w:bidi w:val="0"/>
        <w:adjustRightInd/>
        <w:snapToGrid/>
        <w:spacing w:line="62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承租人：</w:t>
      </w:r>
    </w:p>
    <w:p w14:paraId="18993BB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贵方已与我司已于</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日签订《</w:t>
      </w:r>
      <w:r>
        <w:rPr>
          <w:rFonts w:hint="eastAsia" w:ascii="仿宋_GB2312" w:hAnsi="仿宋_GB2312" w:eastAsia="仿宋_GB2312" w:cs="仿宋_GB2312"/>
          <w:sz w:val="30"/>
          <w:szCs w:val="30"/>
          <w:lang w:eastAsia="zh-CN"/>
        </w:rPr>
        <w:t>房屋租赁</w:t>
      </w:r>
      <w:r>
        <w:rPr>
          <w:rFonts w:hint="eastAsia" w:ascii="仿宋_GB2312" w:hAnsi="仿宋_GB2312" w:eastAsia="仿宋_GB2312" w:cs="仿宋_GB2312"/>
          <w:sz w:val="30"/>
          <w:szCs w:val="30"/>
        </w:rPr>
        <w:t>合同》（合同编号</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），租赁有效期内，贵方作为承租人负有依法依约安全使用租赁物的义务，以及负有相应的消防安全责任，现将相关要求告知如下：</w:t>
      </w:r>
    </w:p>
    <w:p w14:paraId="64C9F70A">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一、安全使用租赁物要求</w:t>
      </w:r>
    </w:p>
    <w:p w14:paraId="4CE51C8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租赁期间，承租人应当按照下列要求安全使用租赁物：</w:t>
      </w:r>
    </w:p>
    <w:p w14:paraId="0E57A87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应当严格按照合同约定用途使用租赁物，不得擅作他用或开展违法经营；</w:t>
      </w:r>
    </w:p>
    <w:p w14:paraId="3F52DF9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不得利用租赁物从事危害国家安全，损害公共利益，影响居民生活秩序等其他经营活动；</w:t>
      </w:r>
    </w:p>
    <w:p w14:paraId="3A4DA8D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学校周边的租赁物不得用于开设酒吧、歌舞厅、棋牌室、电子游戏室、网吧等娱乐场所；</w:t>
      </w:r>
    </w:p>
    <w:p w14:paraId="7B73FDD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不得在租赁场所非法生产、加工、储存、经营易燃性、爆炸性、毒害性、放射性、腐蚀性物资或者传染病病原体等危险物质；</w:t>
      </w:r>
    </w:p>
    <w:p w14:paraId="3474098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5</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w:t>
      </w:r>
      <w:r>
        <w:rPr>
          <w:rFonts w:hint="eastAsia" w:ascii="仿宋_GB2312" w:hAnsi="仿宋_GB2312" w:eastAsia="仿宋_GB2312" w:cs="仿宋_GB2312"/>
          <w:color w:val="auto"/>
          <w:sz w:val="30"/>
          <w:szCs w:val="30"/>
        </w:rPr>
        <w:t>非法设</w:t>
      </w:r>
      <w:r>
        <w:rPr>
          <w:rFonts w:hint="eastAsia" w:ascii="仿宋_GB2312" w:hAnsi="仿宋_GB2312" w:eastAsia="仿宋_GB2312" w:cs="仿宋_GB2312"/>
          <w:sz w:val="30"/>
          <w:szCs w:val="30"/>
        </w:rPr>
        <w:t>置仓库、职工食</w:t>
      </w:r>
      <w:r>
        <w:rPr>
          <w:rFonts w:hint="eastAsia" w:ascii="仿宋_GB2312" w:hAnsi="仿宋_GB2312" w:eastAsia="仿宋_GB2312" w:cs="仿宋_GB2312"/>
          <w:color w:val="auto"/>
          <w:sz w:val="30"/>
          <w:szCs w:val="30"/>
        </w:rPr>
        <w:t>堂或职工宿舍；</w:t>
      </w:r>
    </w:p>
    <w:p w14:paraId="6397D78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6</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不得损坏租赁物的建筑主体和承重结构</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highlight w:val="none"/>
          <w:lang w:val="en-US" w:eastAsia="zh-CN"/>
        </w:rPr>
        <w:t>不得改变</w:t>
      </w:r>
      <w:r>
        <w:rPr>
          <w:rFonts w:hint="eastAsia" w:ascii="仿宋_GB2312" w:hAnsi="仿宋_GB2312" w:eastAsia="仿宋_GB2312" w:cs="仿宋_GB2312"/>
          <w:color w:val="auto"/>
          <w:sz w:val="30"/>
          <w:szCs w:val="30"/>
          <w:highlight w:val="none"/>
        </w:rPr>
        <w:t>租赁</w:t>
      </w:r>
      <w:r>
        <w:rPr>
          <w:rFonts w:hint="eastAsia" w:ascii="仿宋_GB2312" w:hAnsi="仿宋_GB2312" w:eastAsia="仿宋_GB2312" w:cs="仿宋_GB2312"/>
          <w:color w:val="auto"/>
          <w:sz w:val="30"/>
          <w:szCs w:val="30"/>
          <w:highlight w:val="none"/>
          <w:lang w:val="en-US" w:eastAsia="zh-CN"/>
        </w:rPr>
        <w:t>场所原有使用性质</w:t>
      </w:r>
      <w:r>
        <w:rPr>
          <w:rFonts w:hint="eastAsia" w:ascii="仿宋_GB2312" w:hAnsi="仿宋_GB2312" w:eastAsia="仿宋_GB2312" w:cs="仿宋_GB2312"/>
          <w:color w:val="auto"/>
          <w:sz w:val="30"/>
          <w:szCs w:val="30"/>
        </w:rPr>
        <w:t>；</w:t>
      </w:r>
    </w:p>
    <w:p w14:paraId="7842F83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装修装饰期间应当文明施工、避免扰民；</w:t>
      </w:r>
    </w:p>
    <w:p w14:paraId="36D2D29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8</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应当严格执行垃圾分类管理规定，不得胡乱投放垃圾；</w:t>
      </w:r>
    </w:p>
    <w:p w14:paraId="5FE79CD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9</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应当妥善保管公司贵重财物；</w:t>
      </w:r>
    </w:p>
    <w:p w14:paraId="2AE3759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10</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不得从事其他有损租赁物及附属设施设备的行为或活动。</w:t>
      </w:r>
    </w:p>
    <w:p w14:paraId="2C5CD5E3">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二、消防安全责任要求</w:t>
      </w:r>
    </w:p>
    <w:p w14:paraId="40CFF5C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租赁期间，贵方应根据《消防法》、公安部61号令《机关、团体、企业、事业单位消防安全管理规定》、《宁波市治安管理条例》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宁波市出租房安全管理条例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等有关规定，严格履行和落实消防安全责任，具体要求如下：</w:t>
      </w:r>
    </w:p>
    <w:p w14:paraId="6C71A15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应不断提高职工的消防安全意识和应急能力，坚决遏制重特大火灾事故，确保人身财产安全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落实消防安全职责</w:t>
      </w:r>
      <w:r>
        <w:rPr>
          <w:rFonts w:hint="eastAsia" w:ascii="仿宋_GB2312" w:hAnsi="仿宋_GB2312" w:eastAsia="仿宋_GB2312" w:cs="仿宋_GB2312"/>
          <w:color w:val="auto"/>
          <w:sz w:val="30"/>
          <w:szCs w:val="30"/>
        </w:rPr>
        <w:t>；</w:t>
      </w:r>
    </w:p>
    <w:p w14:paraId="4FFB1E1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需按照消防规范配备一定的消防器材，按规定摆放在明显位置并定期维护，保证消防器材能照常使用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严禁</w:t>
      </w:r>
      <w:r>
        <w:rPr>
          <w:rFonts w:hint="eastAsia" w:ascii="仿宋_GB2312" w:hAnsi="仿宋_GB2312" w:eastAsia="仿宋_GB2312" w:cs="仿宋_GB2312"/>
          <w:color w:val="auto"/>
          <w:sz w:val="30"/>
          <w:szCs w:val="30"/>
          <w:lang w:eastAsia="zh-CN"/>
        </w:rPr>
        <w:t>遮挡、损坏、挪用或者擅自拆除、停用消防设施、消防器材；</w:t>
      </w:r>
    </w:p>
    <w:p w14:paraId="602E0B2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3</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装修装饰过程中，应将装修方案向我司及物业公司进行报备，不得任意改变消防设施，影响消防设施的正常使用，确保各类消防设备设施完好、灵敏、有效。</w:t>
      </w:r>
      <w:r>
        <w:rPr>
          <w:rFonts w:hint="eastAsia" w:ascii="仿宋_GB2312" w:hAnsi="仿宋_GB2312" w:eastAsia="仿宋_GB2312" w:cs="仿宋_GB2312"/>
          <w:color w:val="auto"/>
          <w:sz w:val="30"/>
          <w:szCs w:val="30"/>
          <w:lang w:val="en-US" w:eastAsia="zh-CN"/>
        </w:rPr>
        <w:t>严禁违反消防安全要求分割房屋，</w:t>
      </w:r>
      <w:r>
        <w:rPr>
          <w:rFonts w:hint="eastAsia" w:ascii="仿宋_GB2312" w:hAnsi="仿宋_GB2312" w:eastAsia="仿宋_GB2312" w:cs="仿宋_GB2312"/>
          <w:color w:val="auto"/>
          <w:sz w:val="30"/>
          <w:szCs w:val="30"/>
        </w:rPr>
        <w:t>需要消防主管部门审批验收的，需按规</w:t>
      </w:r>
      <w:r>
        <w:rPr>
          <w:rFonts w:hint="eastAsia" w:ascii="仿宋_GB2312" w:hAnsi="仿宋_GB2312" w:eastAsia="仿宋_GB2312" w:cs="仿宋_GB2312"/>
          <w:sz w:val="30"/>
          <w:szCs w:val="30"/>
        </w:rPr>
        <w:t>定报批、验收，未通过前不得使用；</w:t>
      </w:r>
    </w:p>
    <w:p w14:paraId="20A413B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在装修装饰时需采用阻燃或防燃材料，阁楼、楼梯须使用不燃或防燃材料；电线铺设安装按国家相应的规范进行，合理布置，严禁乱拉乱接，线路用阻燃管保护，配电箱、开关等应固定在不燃材料上；</w:t>
      </w:r>
    </w:p>
    <w:p w14:paraId="5E75383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5.</w:t>
      </w:r>
      <w:r>
        <w:rPr>
          <w:rFonts w:hint="eastAsia" w:ascii="仿宋_GB2312" w:hAnsi="仿宋_GB2312" w:eastAsia="仿宋_GB2312" w:cs="仿宋_GB2312"/>
          <w:color w:val="auto"/>
          <w:sz w:val="30"/>
          <w:szCs w:val="30"/>
        </w:rPr>
        <w:t>建筑外窗不得设置影响逃生疏散和灭火救援的障碍物，确需安装金属栅栏等设施的，应当便于从内部开启；</w:t>
      </w:r>
    </w:p>
    <w:p w14:paraId="3A3BADC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建筑外墙装修装饰、建筑屋面使用以及广告牌等设施的设置，不得影响防火、逃生和灭火救援；</w:t>
      </w:r>
    </w:p>
    <w:p w14:paraId="72204C1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7.</w:t>
      </w:r>
      <w:r>
        <w:rPr>
          <w:rFonts w:hint="eastAsia" w:ascii="仿宋_GB2312" w:hAnsi="仿宋_GB2312" w:eastAsia="仿宋_GB2312" w:cs="仿宋_GB2312"/>
          <w:color w:val="auto"/>
          <w:sz w:val="30"/>
          <w:szCs w:val="30"/>
        </w:rPr>
        <w:t>熔断丝不得用铜丝、铁丝等代替，须配置漏电保护器。杜绝超负荷用电，使用电热器具应远离可燃物，用完后应立即切断电源；</w:t>
      </w:r>
    </w:p>
    <w:p w14:paraId="0E0CCFA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8.</w:t>
      </w:r>
      <w:r>
        <w:rPr>
          <w:rFonts w:hint="eastAsia" w:ascii="仿宋_GB2312" w:hAnsi="仿宋_GB2312" w:eastAsia="仿宋_GB2312" w:cs="仿宋_GB2312"/>
          <w:color w:val="auto"/>
          <w:sz w:val="30"/>
          <w:szCs w:val="30"/>
        </w:rPr>
        <w:t xml:space="preserve">电器或电气设备周围不准堆放可燃、易爆物品；定期检查电表箱、电线的老化问题； </w:t>
      </w:r>
    </w:p>
    <w:p w14:paraId="6FD0F0F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9.</w:t>
      </w:r>
      <w:r>
        <w:rPr>
          <w:rFonts w:hint="eastAsia" w:ascii="仿宋_GB2312" w:hAnsi="仿宋_GB2312" w:eastAsia="仿宋_GB2312" w:cs="仿宋_GB2312"/>
          <w:strike w:val="0"/>
          <w:dstrike w:val="0"/>
          <w:color w:val="auto"/>
          <w:sz w:val="30"/>
          <w:szCs w:val="30"/>
          <w:lang w:eastAsia="zh-CN"/>
        </w:rPr>
        <w:t>疏散通道、楼梯间、安全出口等影响消防通道畅通的区域，不得停放电动自行车或者为电动自行车及其蓄电池充电；</w:t>
      </w:r>
    </w:p>
    <w:p w14:paraId="51A15D0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10.</w:t>
      </w:r>
      <w:r>
        <w:rPr>
          <w:rFonts w:hint="eastAsia" w:ascii="仿宋_GB2312" w:hAnsi="仿宋_GB2312" w:eastAsia="仿宋_GB2312" w:cs="仿宋_GB2312"/>
          <w:sz w:val="30"/>
          <w:szCs w:val="30"/>
        </w:rPr>
        <w:t>租赁场地严禁建造违章建筑和堆放可燃杂物，严禁占用堵塞楼院消防通道、出口，配合清理电动自行车等交通工具违规存放充电问题，协助清理电缆井、管道井等竖井防火封堵不严以及堆放可燃杂物问题； </w:t>
      </w:r>
    </w:p>
    <w:p w14:paraId="42F07C4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lang w:val="en-US" w:eastAsia="zh-CN"/>
        </w:rPr>
        <w:t>11.</w:t>
      </w:r>
      <w:r>
        <w:rPr>
          <w:rFonts w:hint="eastAsia" w:ascii="仿宋_GB2312" w:hAnsi="仿宋_GB2312" w:eastAsia="仿宋_GB2312" w:cs="仿宋_GB2312"/>
          <w:sz w:val="30"/>
          <w:szCs w:val="30"/>
        </w:rPr>
        <w:t>在关门离场前，应对租赁物场所内进行彻底检查，切断电源、气源，在确</w:t>
      </w:r>
      <w:r>
        <w:rPr>
          <w:rFonts w:hint="eastAsia" w:ascii="仿宋_GB2312" w:hAnsi="仿宋_GB2312" w:eastAsia="仿宋_GB2312" w:cs="仿宋_GB2312"/>
          <w:color w:val="auto"/>
          <w:sz w:val="30"/>
          <w:szCs w:val="30"/>
        </w:rPr>
        <w:t>认不存在安全隐患后方可离场；</w:t>
      </w:r>
    </w:p>
    <w:p w14:paraId="6C93BCE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12.</w:t>
      </w:r>
      <w:r>
        <w:rPr>
          <w:rFonts w:hint="eastAsia" w:ascii="仿宋_GB2312" w:hAnsi="仿宋_GB2312" w:eastAsia="仿宋_GB2312" w:cs="仿宋_GB2312"/>
          <w:strike w:val="0"/>
          <w:dstrike w:val="0"/>
          <w:color w:val="auto"/>
          <w:sz w:val="30"/>
          <w:szCs w:val="30"/>
        </w:rPr>
        <w:t>出租房内应当使用合格的燃气燃烧器具，禁止在不具备安全条件的场所使用燃气</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rPr>
        <w:t>使用燃气等炉具要按安全规定操作，用完后要随手关闭所有阀门</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lang w:val="en-US" w:eastAsia="zh-CN"/>
        </w:rPr>
        <w:t>并做好定期检查和维护</w:t>
      </w:r>
      <w:r>
        <w:rPr>
          <w:rFonts w:hint="eastAsia" w:ascii="仿宋_GB2312" w:hAnsi="仿宋_GB2312" w:eastAsia="仿宋_GB2312" w:cs="仿宋_GB2312"/>
          <w:strike w:val="0"/>
          <w:dstrike w:val="0"/>
          <w:color w:val="auto"/>
          <w:sz w:val="30"/>
          <w:szCs w:val="30"/>
        </w:rPr>
        <w:t>；</w:t>
      </w:r>
    </w:p>
    <w:p w14:paraId="2D778A0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13.严禁违规在出租场所</w:t>
      </w:r>
      <w:r>
        <w:rPr>
          <w:rFonts w:hint="eastAsia" w:ascii="仿宋_GB2312" w:hAnsi="仿宋_GB2312" w:eastAsia="仿宋_GB2312" w:cs="仿宋_GB2312"/>
          <w:strike w:val="0"/>
          <w:dstrike w:val="0"/>
          <w:color w:val="auto"/>
          <w:sz w:val="30"/>
          <w:szCs w:val="30"/>
          <w:lang w:eastAsia="zh-CN"/>
        </w:rPr>
        <w:t>内生产、储存、经营、使用易燃易爆等危险品；</w:t>
      </w:r>
    </w:p>
    <w:p w14:paraId="55F5D425">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4.</w:t>
      </w:r>
      <w:r>
        <w:rPr>
          <w:rFonts w:hint="eastAsia" w:ascii="仿宋_GB2312" w:hAnsi="仿宋_GB2312" w:eastAsia="仿宋_GB2312" w:cs="仿宋_GB2312"/>
          <w:color w:val="auto"/>
          <w:sz w:val="30"/>
          <w:szCs w:val="30"/>
        </w:rPr>
        <w:t>做好日常消防防范工作，发现危害公共消防安全的行为要及时制止、举报，一旦发现火警立即报警，积极组织扑救，疏散人员，抢救重要物资，协助公安消防部队做好火灾扑救和善后工作；</w:t>
      </w:r>
    </w:p>
    <w:p w14:paraId="0BEC2BE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5.每年定期开展消防安全培训和应急演练，并做好相关记录，</w:t>
      </w:r>
      <w:r>
        <w:rPr>
          <w:rFonts w:hint="eastAsia" w:ascii="仿宋_GB2312" w:hAnsi="仿宋_GB2312" w:eastAsia="仿宋_GB2312" w:cs="仿宋_GB2312"/>
          <w:color w:val="auto"/>
          <w:sz w:val="30"/>
          <w:szCs w:val="30"/>
        </w:rPr>
        <w:t>若夜间有值班人员的，要定期对值班人员进行逃生培训，配备必要的应急逃生工具；</w:t>
      </w:r>
    </w:p>
    <w:p w14:paraId="6B5D7E35">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需加强安全管理，应进行必要的火灾财产保险；</w:t>
      </w:r>
    </w:p>
    <w:p w14:paraId="03E1E19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17.安全使用出租房，不得擅自改变房屋结构和规划用途；</w:t>
      </w:r>
    </w:p>
    <w:p w14:paraId="36887E0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18.配合出租人开展安全检查，及时消除或者通知出租人消除安全隐患；</w:t>
      </w:r>
    </w:p>
    <w:p w14:paraId="7FBFF3D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9.</w:t>
      </w:r>
      <w:r>
        <w:rPr>
          <w:rFonts w:hint="eastAsia" w:ascii="仿宋_GB2312" w:hAnsi="仿宋_GB2312" w:eastAsia="仿宋_GB2312" w:cs="仿宋_GB2312"/>
          <w:sz w:val="30"/>
          <w:szCs w:val="30"/>
        </w:rPr>
        <w:t>必须无条件服从管理单位对消防安全管理提出的合理要求；</w:t>
      </w:r>
    </w:p>
    <w:p w14:paraId="7D418185">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20.</w:t>
      </w:r>
      <w:r>
        <w:rPr>
          <w:rFonts w:hint="eastAsia" w:ascii="仿宋_GB2312" w:hAnsi="仿宋_GB2312" w:eastAsia="仿宋_GB2312" w:cs="仿宋_GB2312"/>
          <w:sz w:val="30"/>
          <w:szCs w:val="30"/>
        </w:rPr>
        <w:t>自觉遵守消防法律法规，服从消防组织的管理，抵制消防违法行为。</w:t>
      </w:r>
    </w:p>
    <w:p w14:paraId="7E3F79CC">
      <w:pPr>
        <w:keepNext w:val="0"/>
        <w:keepLines w:val="0"/>
        <w:pageBreakBefore w:val="0"/>
        <w:widowControl w:val="0"/>
        <w:kinsoku/>
        <w:wordWrap/>
        <w:overflowPunct/>
        <w:topLinePunct w:val="0"/>
        <w:autoSpaceDE/>
        <w:autoSpaceDN/>
        <w:bidi w:val="0"/>
        <w:adjustRightInd/>
        <w:snapToGrid/>
        <w:spacing w:line="620" w:lineRule="exact"/>
        <w:ind w:left="420" w:leftChars="200" w:firstLine="600" w:firstLineChars="200"/>
        <w:textAlignment w:val="auto"/>
        <w:rPr>
          <w:rFonts w:hint="eastAsia" w:ascii="仿宋_GB2312" w:hAnsi="仿宋_GB2312" w:eastAsia="仿宋_GB2312" w:cs="仿宋_GB2312"/>
          <w:sz w:val="30"/>
          <w:szCs w:val="30"/>
          <w:lang w:val="en-US" w:eastAsia="zh-CN"/>
        </w:rPr>
      </w:pPr>
    </w:p>
    <w:p w14:paraId="3C986D54">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告知书签收人签字/盖章：</w:t>
      </w:r>
    </w:p>
    <w:p w14:paraId="630CB36F">
      <w:pPr>
        <w:keepNext w:val="0"/>
        <w:keepLines w:val="0"/>
        <w:pageBreakBefore w:val="0"/>
        <w:widowControl w:val="0"/>
        <w:kinsoku/>
        <w:wordWrap/>
        <w:overflowPunct/>
        <w:topLinePunct w:val="0"/>
        <w:autoSpaceDE/>
        <w:autoSpaceDN/>
        <w:bidi w:val="0"/>
        <w:adjustRightInd/>
        <w:snapToGrid/>
        <w:spacing w:line="620" w:lineRule="exact"/>
        <w:ind w:left="420" w:leftChars="200"/>
        <w:jc w:val="right"/>
        <w:textAlignment w:val="auto"/>
        <w:rPr>
          <w:rFonts w:hint="eastAsia" w:ascii="仿宋_GB2312" w:hAnsi="仿宋_GB2312" w:eastAsia="仿宋_GB2312" w:cs="仿宋_GB2312"/>
          <w:sz w:val="30"/>
          <w:szCs w:val="30"/>
          <w:lang w:eastAsia="zh-CN"/>
        </w:rPr>
      </w:pPr>
    </w:p>
    <w:p w14:paraId="03E2FFEB">
      <w:pPr>
        <w:keepNext w:val="0"/>
        <w:keepLines w:val="0"/>
        <w:pageBreakBefore w:val="0"/>
        <w:widowControl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lang w:eastAsia="zh-CN"/>
        </w:rPr>
      </w:pPr>
    </w:p>
    <w:p w14:paraId="122A6B22">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jc w:val="both"/>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甲方（盖章）：</w:t>
      </w:r>
    </w:p>
    <w:p w14:paraId="3D9EDEBE">
      <w:pPr>
        <w:spacing w:before="50" w:after="50" w:line="480" w:lineRule="exact"/>
        <w:jc w:val="both"/>
      </w:pPr>
    </w:p>
    <w:sectPr>
      <w:footerReference r:id="rId3" w:type="default"/>
      <w:footerReference r:id="rId4" w:type="even"/>
      <w:pgSz w:w="11906" w:h="16838"/>
      <w:pgMar w:top="1440" w:right="1701"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0806D7">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2672CC32">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7C3EE9">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062DC3A1">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4C1713"/>
    <w:multiLevelType w:val="singleLevel"/>
    <w:tmpl w:val="784C171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3MzJmODVmNmFlYzI4OWVkNzBmYTBkOTQxYjNlOTEifQ=="/>
  </w:docVars>
  <w:rsids>
    <w:rsidRoot w:val="15EC3809"/>
    <w:rsid w:val="00A83AD0"/>
    <w:rsid w:val="00B2005C"/>
    <w:rsid w:val="00B5413C"/>
    <w:rsid w:val="03457F4D"/>
    <w:rsid w:val="04425FE9"/>
    <w:rsid w:val="04502AFF"/>
    <w:rsid w:val="05D92456"/>
    <w:rsid w:val="06755150"/>
    <w:rsid w:val="068E7E43"/>
    <w:rsid w:val="06C00C55"/>
    <w:rsid w:val="06FA2237"/>
    <w:rsid w:val="078C6EA6"/>
    <w:rsid w:val="08074BF6"/>
    <w:rsid w:val="08AF5C17"/>
    <w:rsid w:val="08B55A9A"/>
    <w:rsid w:val="09C474A0"/>
    <w:rsid w:val="0AAA4978"/>
    <w:rsid w:val="0B690F28"/>
    <w:rsid w:val="0B754EF6"/>
    <w:rsid w:val="0C2A1F61"/>
    <w:rsid w:val="0CA57A5D"/>
    <w:rsid w:val="0D3D1A32"/>
    <w:rsid w:val="0DF45AE2"/>
    <w:rsid w:val="0E344BF5"/>
    <w:rsid w:val="0E935BFE"/>
    <w:rsid w:val="0EF9493B"/>
    <w:rsid w:val="0F8C742C"/>
    <w:rsid w:val="115347DA"/>
    <w:rsid w:val="11654CEF"/>
    <w:rsid w:val="12503FC7"/>
    <w:rsid w:val="14A70543"/>
    <w:rsid w:val="152F1FA0"/>
    <w:rsid w:val="15EC3809"/>
    <w:rsid w:val="16571DC8"/>
    <w:rsid w:val="173122BD"/>
    <w:rsid w:val="18925339"/>
    <w:rsid w:val="198D1A5F"/>
    <w:rsid w:val="1A473F02"/>
    <w:rsid w:val="1AA25B93"/>
    <w:rsid w:val="1AE91E9E"/>
    <w:rsid w:val="1B733D66"/>
    <w:rsid w:val="1D24052A"/>
    <w:rsid w:val="1DA43B34"/>
    <w:rsid w:val="1F955C68"/>
    <w:rsid w:val="20301191"/>
    <w:rsid w:val="211A411E"/>
    <w:rsid w:val="21F52D2D"/>
    <w:rsid w:val="222A0391"/>
    <w:rsid w:val="224F60AB"/>
    <w:rsid w:val="245076FF"/>
    <w:rsid w:val="24BDCF9D"/>
    <w:rsid w:val="24D665AE"/>
    <w:rsid w:val="26C8707D"/>
    <w:rsid w:val="26E92BE5"/>
    <w:rsid w:val="26EB3E67"/>
    <w:rsid w:val="27E134C6"/>
    <w:rsid w:val="28051B4F"/>
    <w:rsid w:val="28B44BC4"/>
    <w:rsid w:val="28E17D1E"/>
    <w:rsid w:val="2CF45EA7"/>
    <w:rsid w:val="2D76092E"/>
    <w:rsid w:val="2DFE26D1"/>
    <w:rsid w:val="2EEB7445"/>
    <w:rsid w:val="3071362F"/>
    <w:rsid w:val="32E5541C"/>
    <w:rsid w:val="33BC75E5"/>
    <w:rsid w:val="375B2943"/>
    <w:rsid w:val="398A12C3"/>
    <w:rsid w:val="399A6486"/>
    <w:rsid w:val="3A231E3E"/>
    <w:rsid w:val="3AEE6CC3"/>
    <w:rsid w:val="3C553767"/>
    <w:rsid w:val="3CC13740"/>
    <w:rsid w:val="3CC82742"/>
    <w:rsid w:val="3DD877E7"/>
    <w:rsid w:val="3E1A3557"/>
    <w:rsid w:val="3ED1783C"/>
    <w:rsid w:val="3F782104"/>
    <w:rsid w:val="3FDB0AC5"/>
    <w:rsid w:val="3FF16AF1"/>
    <w:rsid w:val="410E414B"/>
    <w:rsid w:val="411F5AAC"/>
    <w:rsid w:val="41DF4BEC"/>
    <w:rsid w:val="423A37D0"/>
    <w:rsid w:val="44B352D2"/>
    <w:rsid w:val="461E0BEE"/>
    <w:rsid w:val="484C07B1"/>
    <w:rsid w:val="48C651E6"/>
    <w:rsid w:val="4A196FDF"/>
    <w:rsid w:val="4A69389D"/>
    <w:rsid w:val="4C8A0B18"/>
    <w:rsid w:val="4E4C1D55"/>
    <w:rsid w:val="4E4D5343"/>
    <w:rsid w:val="4F132029"/>
    <w:rsid w:val="504D156B"/>
    <w:rsid w:val="50BF5CCD"/>
    <w:rsid w:val="51064B72"/>
    <w:rsid w:val="520115EE"/>
    <w:rsid w:val="524229D0"/>
    <w:rsid w:val="52A5743C"/>
    <w:rsid w:val="52D3730D"/>
    <w:rsid w:val="533E387A"/>
    <w:rsid w:val="53F34BED"/>
    <w:rsid w:val="55730162"/>
    <w:rsid w:val="57087F99"/>
    <w:rsid w:val="588767A0"/>
    <w:rsid w:val="5A566F12"/>
    <w:rsid w:val="5AE7BE49"/>
    <w:rsid w:val="5B7756EE"/>
    <w:rsid w:val="5CAC6A04"/>
    <w:rsid w:val="5D4F6922"/>
    <w:rsid w:val="5DBB3B96"/>
    <w:rsid w:val="5DF300E3"/>
    <w:rsid w:val="5E3407EB"/>
    <w:rsid w:val="5F0C4CD0"/>
    <w:rsid w:val="5FDE7C96"/>
    <w:rsid w:val="60DD0FD5"/>
    <w:rsid w:val="61694C62"/>
    <w:rsid w:val="642411C6"/>
    <w:rsid w:val="652C579B"/>
    <w:rsid w:val="65A11057"/>
    <w:rsid w:val="668A66FA"/>
    <w:rsid w:val="68822739"/>
    <w:rsid w:val="693B781C"/>
    <w:rsid w:val="6ABA73A5"/>
    <w:rsid w:val="6B76151E"/>
    <w:rsid w:val="6CF03552"/>
    <w:rsid w:val="6CFC68D7"/>
    <w:rsid w:val="6D34343E"/>
    <w:rsid w:val="6DF979B8"/>
    <w:rsid w:val="6E0B0643"/>
    <w:rsid w:val="6E2A4841"/>
    <w:rsid w:val="6E3851B0"/>
    <w:rsid w:val="6EEED7ED"/>
    <w:rsid w:val="6F0F5F11"/>
    <w:rsid w:val="6F141779"/>
    <w:rsid w:val="706742D4"/>
    <w:rsid w:val="70C25205"/>
    <w:rsid w:val="70D867D7"/>
    <w:rsid w:val="71144A8F"/>
    <w:rsid w:val="722F459F"/>
    <w:rsid w:val="730668DC"/>
    <w:rsid w:val="75297601"/>
    <w:rsid w:val="755B4AEE"/>
    <w:rsid w:val="75796F4B"/>
    <w:rsid w:val="76BBE103"/>
    <w:rsid w:val="76E622F1"/>
    <w:rsid w:val="7749700A"/>
    <w:rsid w:val="78230C03"/>
    <w:rsid w:val="79A100AE"/>
    <w:rsid w:val="79DB010B"/>
    <w:rsid w:val="7BD70D3B"/>
    <w:rsid w:val="7BFEEBF5"/>
    <w:rsid w:val="7C6F710D"/>
    <w:rsid w:val="7C9C4B5C"/>
    <w:rsid w:val="7CC40631"/>
    <w:rsid w:val="7D4F6073"/>
    <w:rsid w:val="7FBE7337"/>
    <w:rsid w:val="7FFECF60"/>
    <w:rsid w:val="DF5FCF37"/>
    <w:rsid w:val="E7FC6013"/>
    <w:rsid w:val="FBE9471A"/>
    <w:rsid w:val="FEDF21F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qFormat/>
    <w:uiPriority w:val="0"/>
    <w:pPr>
      <w:ind w:firstLine="420" w:firstLineChars="200"/>
    </w:pPr>
    <w:rPr>
      <w:rFonts w:ascii="Calibri" w:hAnsi="Calibri"/>
      <w:szCs w:val="22"/>
    </w:rPr>
  </w:style>
  <w:style w:type="paragraph" w:customStyle="1" w:styleId="11">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unhideWhenUsed/>
    <w:qFormat/>
    <w:uiPriority w:val="99"/>
    <w:pPr>
      <w:widowControl/>
    </w:pPr>
    <w:rPr>
      <w:rFonts w:hint="eastAsia"/>
    </w:rPr>
  </w:style>
  <w:style w:type="character" w:customStyle="1" w:styleId="13">
    <w:name w:val="font21"/>
    <w:basedOn w:val="8"/>
    <w:qFormat/>
    <w:uiPriority w:val="0"/>
    <w:rPr>
      <w:rFonts w:hint="eastAsia" w:ascii="宋体" w:hAnsi="宋体" w:eastAsia="宋体" w:cs="宋体"/>
      <w:color w:val="000000"/>
      <w:sz w:val="22"/>
      <w:szCs w:val="22"/>
      <w:u w:val="none"/>
    </w:rPr>
  </w:style>
  <w:style w:type="character" w:customStyle="1" w:styleId="14">
    <w:name w:val="font01"/>
    <w:basedOn w:val="8"/>
    <w:qFormat/>
    <w:uiPriority w:val="0"/>
    <w:rPr>
      <w:rFonts w:hint="default" w:ascii="Arial" w:hAnsi="Arial" w:cs="Arial"/>
      <w:color w:val="000000"/>
      <w:sz w:val="22"/>
      <w:szCs w:val="22"/>
      <w:u w:val="none"/>
    </w:rPr>
  </w:style>
  <w:style w:type="character" w:customStyle="1" w:styleId="15">
    <w:name w:val="font31"/>
    <w:basedOn w:val="8"/>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26</Pages>
  <Words>11939</Words>
  <Characters>12823</Characters>
  <Lines>0</Lines>
  <Paragraphs>0</Paragraphs>
  <TotalTime>0</TotalTime>
  <ScaleCrop>false</ScaleCrop>
  <LinksUpToDate>false</LinksUpToDate>
  <CharactersWithSpaces>14113</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2023-12-13T00:46:00Z</dcterms:created>
  <dc:creator>刘烨</dc:creator>
  <cp:lastModifiedBy>大象滑滑梯</cp:lastModifiedBy>
  <dcterms:modified xsi:type="dcterms:W3CDTF">2026-02-12T06:21:12Z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B35FB40C4D2D42308A8DADAA6C4E7710_13</vt:lpwstr>
  </property>
  <property fmtid="{D5CDD505-2E9C-101B-9397-08002B2CF9AE}" pid="4" name="KSOTemplateDocerSaveRecord">
    <vt:lpwstr>eyJoZGlkIjoiYzQ3MzJmODVmNmFlYzI4OWVkNzBmYTBkOTQxYjNlOTEiLCJ1c2VySWQiOiIzNTgyOTgzMzAifQ==</vt:lpwstr>
  </property>
</Properties>
</file>